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1813" w14:textId="77777777" w:rsidR="00E67A45" w:rsidRPr="00DD3B6C" w:rsidRDefault="00574349" w:rsidP="00F4558A">
      <w:pPr>
        <w:snapToGrid w:val="0"/>
        <w:spacing w:after="240" w:line="360" w:lineRule="auto"/>
        <w:jc w:val="center"/>
        <w:rPr>
          <w:rFonts w:ascii="Arial" w:hAnsi="Arial" w:cs="Arial"/>
          <w:b/>
          <w:bCs/>
          <w:sz w:val="22"/>
          <w:szCs w:val="22"/>
          <w:lang w:val="es-ES_tradnl"/>
        </w:rPr>
      </w:pPr>
      <w:r w:rsidRPr="00DD3B6C">
        <w:rPr>
          <w:rFonts w:ascii="Arial" w:hAnsi="Arial" w:cs="Arial"/>
          <w:b/>
          <w:bCs/>
          <w:sz w:val="22"/>
          <w:szCs w:val="22"/>
          <w:lang w:val="es-ES_tradnl"/>
        </w:rPr>
        <w:t>AAEF</w:t>
      </w:r>
    </w:p>
    <w:p w14:paraId="330C886A" w14:textId="77777777" w:rsidR="00574349" w:rsidRPr="00DD3B6C" w:rsidRDefault="00F4558A" w:rsidP="00F4558A">
      <w:pPr>
        <w:snapToGrid w:val="0"/>
        <w:spacing w:after="240" w:line="360" w:lineRule="auto"/>
        <w:jc w:val="center"/>
        <w:rPr>
          <w:rFonts w:ascii="Arial" w:hAnsi="Arial" w:cs="Arial"/>
          <w:b/>
          <w:bCs/>
          <w:sz w:val="22"/>
          <w:szCs w:val="22"/>
          <w:lang w:val="es-ES_tradnl"/>
        </w:rPr>
      </w:pPr>
      <w:r w:rsidRPr="00DD3B6C">
        <w:rPr>
          <w:rFonts w:ascii="Arial" w:hAnsi="Arial" w:cs="Arial"/>
          <w:b/>
          <w:bCs/>
          <w:sz w:val="22"/>
          <w:szCs w:val="22"/>
          <w:lang w:val="es-ES_tradnl"/>
        </w:rPr>
        <w:t>COMISION DE TRIBUTOS LOCALES</w:t>
      </w:r>
    </w:p>
    <w:p w14:paraId="02DA197C" w14:textId="77777777" w:rsidR="00F4558A" w:rsidRPr="00DD3B6C" w:rsidRDefault="00F4558A" w:rsidP="00F4558A">
      <w:pPr>
        <w:snapToGrid w:val="0"/>
        <w:spacing w:after="240" w:line="360" w:lineRule="auto"/>
        <w:jc w:val="center"/>
        <w:rPr>
          <w:rFonts w:ascii="Arial" w:hAnsi="Arial" w:cs="Arial"/>
          <w:b/>
          <w:bCs/>
          <w:sz w:val="22"/>
          <w:szCs w:val="22"/>
          <w:lang w:val="es-ES_tradnl"/>
        </w:rPr>
      </w:pPr>
      <w:r w:rsidRPr="00DD3B6C">
        <w:rPr>
          <w:rFonts w:ascii="Arial" w:hAnsi="Arial" w:cs="Arial"/>
          <w:b/>
          <w:bCs/>
          <w:sz w:val="22"/>
          <w:szCs w:val="22"/>
          <w:lang w:val="es-ES_tradnl"/>
        </w:rPr>
        <w:t>REUNIONES – SEPTIEMBRE/2022</w:t>
      </w:r>
    </w:p>
    <w:p w14:paraId="14024A12" w14:textId="77777777" w:rsidR="0084047F" w:rsidRDefault="0084047F" w:rsidP="0084047F">
      <w:pPr>
        <w:snapToGrid w:val="0"/>
        <w:spacing w:after="240" w:line="360" w:lineRule="auto"/>
        <w:jc w:val="both"/>
        <w:rPr>
          <w:rFonts w:ascii="Arial" w:hAnsi="Arial" w:cs="Arial"/>
          <w:b/>
          <w:bCs/>
          <w:sz w:val="20"/>
          <w:szCs w:val="20"/>
          <w:u w:val="single"/>
          <w:lang w:val="es-ES_tradnl"/>
        </w:rPr>
      </w:pPr>
      <w:r>
        <w:rPr>
          <w:rFonts w:ascii="Arial" w:hAnsi="Arial" w:cs="Arial"/>
          <w:b/>
          <w:bCs/>
          <w:sz w:val="20"/>
          <w:szCs w:val="20"/>
          <w:u w:val="single"/>
          <w:lang w:val="es-ES_tradnl"/>
        </w:rPr>
        <w:t>Consenso Fiscal y modificación del hecho imponible del impuesto sobre los ingresos brutos</w:t>
      </w:r>
      <w:r w:rsidRPr="00F668EF">
        <w:rPr>
          <w:rFonts w:ascii="Arial" w:hAnsi="Arial" w:cs="Arial"/>
          <w:b/>
          <w:bCs/>
          <w:sz w:val="20"/>
          <w:szCs w:val="20"/>
          <w:u w:val="single"/>
          <w:lang w:val="es-ES_tradnl"/>
        </w:rPr>
        <w:t>.</w:t>
      </w:r>
    </w:p>
    <w:p w14:paraId="36E04BD6" w14:textId="6C4F2654" w:rsidR="0084047F" w:rsidRPr="00851DD3" w:rsidRDefault="0084047F" w:rsidP="0084047F">
      <w:pPr>
        <w:pStyle w:val="Prrafodelista"/>
        <w:snapToGrid w:val="0"/>
        <w:spacing w:after="240" w:line="360" w:lineRule="auto"/>
        <w:ind w:left="714"/>
        <w:contextualSpacing w:val="0"/>
        <w:jc w:val="both"/>
        <w:rPr>
          <w:rFonts w:ascii="Arial" w:hAnsi="Arial" w:cs="Arial"/>
          <w:sz w:val="20"/>
          <w:szCs w:val="20"/>
          <w:lang w:val="es-ES_tradnl"/>
        </w:rPr>
      </w:pPr>
      <w:r w:rsidRPr="00851DD3">
        <w:rPr>
          <w:rFonts w:ascii="Arial" w:hAnsi="Arial" w:cs="Arial"/>
          <w:sz w:val="20"/>
          <w:szCs w:val="20"/>
          <w:lang w:val="es-ES_tradnl"/>
        </w:rPr>
        <w:t xml:space="preserve">Impuesto sobre los Ingresos Brutos. </w:t>
      </w:r>
      <w:r>
        <w:rPr>
          <w:rFonts w:ascii="Arial" w:hAnsi="Arial" w:cs="Arial"/>
          <w:sz w:val="20"/>
          <w:szCs w:val="20"/>
          <w:lang w:val="es-ES_tradnl"/>
        </w:rPr>
        <w:t xml:space="preserve">Extensión del hecho imponible. Colisión con la Ley de Coparticipación Federal de Impuestos. </w:t>
      </w:r>
      <w:r w:rsidRPr="00851DD3">
        <w:rPr>
          <w:rFonts w:ascii="Arial" w:hAnsi="Arial" w:cs="Arial"/>
          <w:sz w:val="20"/>
          <w:szCs w:val="20"/>
          <w:lang w:val="es-ES_tradnl"/>
        </w:rPr>
        <w:t>Gravabilidad de las actividades onerosas</w:t>
      </w:r>
      <w:r>
        <w:rPr>
          <w:rFonts w:ascii="Arial" w:hAnsi="Arial" w:cs="Arial"/>
          <w:sz w:val="20"/>
          <w:szCs w:val="20"/>
          <w:lang w:val="es-ES_tradnl"/>
        </w:rPr>
        <w:t xml:space="preserve"> (no lucrativas)</w:t>
      </w:r>
      <w:r w:rsidRPr="00851DD3">
        <w:rPr>
          <w:rFonts w:ascii="Arial" w:hAnsi="Arial" w:cs="Arial"/>
          <w:sz w:val="20"/>
          <w:szCs w:val="20"/>
          <w:lang w:val="es-ES_tradnl"/>
        </w:rPr>
        <w:t xml:space="preserve">.  </w:t>
      </w:r>
      <w:r>
        <w:rPr>
          <w:rFonts w:ascii="Arial" w:hAnsi="Arial" w:cs="Arial"/>
          <w:b/>
          <w:sz w:val="20"/>
          <w:szCs w:val="20"/>
          <w:lang w:val="es-ES_tradnl"/>
        </w:rPr>
        <w:t xml:space="preserve">Suprema Corte de Justicia de la Provincia de Buenos Aires. </w:t>
      </w:r>
      <w:r w:rsidRPr="00851DD3">
        <w:rPr>
          <w:rFonts w:ascii="Arial" w:hAnsi="Arial" w:cs="Arial"/>
          <w:b/>
          <w:bCs/>
          <w:i/>
          <w:iCs/>
          <w:sz w:val="20"/>
          <w:szCs w:val="20"/>
          <w:lang w:val="es-ES_tradnl"/>
        </w:rPr>
        <w:t>“Asociación Bancaria c/Tribunal Fiscal de Apelación y Otros S/Impugnación de Resolución - Recurso Extraordinario de Inaplicabilidad De Ley (12/08/2022)”</w:t>
      </w:r>
      <w:r w:rsidRPr="00851DD3">
        <w:rPr>
          <w:rFonts w:ascii="Arial" w:hAnsi="Arial" w:cs="Arial"/>
          <w:sz w:val="20"/>
          <w:szCs w:val="20"/>
          <w:lang w:val="es-ES_tradnl"/>
        </w:rPr>
        <w:t>.</w:t>
      </w:r>
    </w:p>
    <w:p w14:paraId="04106EC3" w14:textId="7C1D6D4D" w:rsidR="00CA7762" w:rsidRDefault="00F668EF" w:rsidP="00A813F3">
      <w:pPr>
        <w:snapToGrid w:val="0"/>
        <w:spacing w:after="240" w:line="360" w:lineRule="auto"/>
        <w:jc w:val="both"/>
        <w:rPr>
          <w:rFonts w:ascii="Arial" w:hAnsi="Arial" w:cs="Arial"/>
          <w:b/>
          <w:bCs/>
          <w:sz w:val="20"/>
          <w:szCs w:val="20"/>
          <w:u w:val="single"/>
          <w:lang w:val="es-ES_tradnl"/>
        </w:rPr>
      </w:pPr>
      <w:r w:rsidRPr="00F668EF">
        <w:rPr>
          <w:rFonts w:ascii="Arial" w:hAnsi="Arial" w:cs="Arial"/>
          <w:b/>
          <w:bCs/>
          <w:sz w:val="20"/>
          <w:szCs w:val="20"/>
          <w:u w:val="single"/>
          <w:lang w:val="es-ES_tradnl"/>
        </w:rPr>
        <w:t>Conflicto en el Ejercicio de las Potestades Tributarias</w:t>
      </w:r>
      <w:r>
        <w:rPr>
          <w:rFonts w:ascii="Arial" w:hAnsi="Arial" w:cs="Arial"/>
          <w:b/>
          <w:bCs/>
          <w:sz w:val="20"/>
          <w:szCs w:val="20"/>
          <w:u w:val="single"/>
          <w:lang w:val="es-ES_tradnl"/>
        </w:rPr>
        <w:t>.</w:t>
      </w:r>
      <w:r w:rsidRPr="00F668EF">
        <w:rPr>
          <w:rFonts w:ascii="Arial" w:hAnsi="Arial" w:cs="Arial"/>
          <w:b/>
          <w:bCs/>
          <w:sz w:val="20"/>
          <w:szCs w:val="20"/>
          <w:u w:val="single"/>
          <w:lang w:val="es-ES_tradnl"/>
        </w:rPr>
        <w:t xml:space="preserve"> Derechos de Exportación e Incidencia en la Masa Coparticipable</w:t>
      </w:r>
      <w:r w:rsidR="00CA7762">
        <w:rPr>
          <w:rFonts w:ascii="Arial" w:hAnsi="Arial" w:cs="Arial"/>
          <w:b/>
          <w:bCs/>
          <w:sz w:val="20"/>
          <w:szCs w:val="20"/>
          <w:u w:val="single"/>
          <w:lang w:val="es-ES_tradnl"/>
        </w:rPr>
        <w:t>.</w:t>
      </w:r>
    </w:p>
    <w:p w14:paraId="41E4F3BD" w14:textId="77777777" w:rsidR="0084047F" w:rsidRDefault="0084047F" w:rsidP="0084047F">
      <w:pPr>
        <w:snapToGrid w:val="0"/>
        <w:spacing w:after="240" w:line="360" w:lineRule="auto"/>
        <w:ind w:left="708"/>
        <w:jc w:val="both"/>
        <w:rPr>
          <w:rFonts w:ascii="Arial" w:hAnsi="Arial" w:cs="Arial"/>
          <w:sz w:val="20"/>
          <w:szCs w:val="20"/>
          <w:lang w:val="es-ES_tradnl"/>
        </w:rPr>
      </w:pPr>
      <w:r w:rsidRPr="00F668EF">
        <w:rPr>
          <w:rFonts w:ascii="Arial" w:hAnsi="Arial" w:cs="Arial"/>
          <w:sz w:val="20"/>
          <w:szCs w:val="20"/>
          <w:lang w:val="es-ES_tradnl"/>
        </w:rPr>
        <w:t xml:space="preserve">Conflicto en el Ejercicio de las Potestades Tributarias. Delegación (tributaria) en el Poder Ejecutivo Nacional de la alícuota de los Derechos de Exportación. Emergencia Económica. Mercados de Cereales y Oleaginosas. Incidencia en la Masa Coparticipable. Solicitud de Restitución de Fondos (Pretensión Patrimonial). Excepción de Falta de Legitimidad. </w:t>
      </w:r>
      <w:r w:rsidRPr="00F668EF">
        <w:rPr>
          <w:rFonts w:ascii="Arial" w:hAnsi="Arial" w:cs="Arial"/>
          <w:b/>
          <w:bCs/>
          <w:sz w:val="20"/>
          <w:szCs w:val="20"/>
          <w:lang w:val="es-ES_tradnl"/>
        </w:rPr>
        <w:t xml:space="preserve">Corte Suprema de Justicia de la Nación. </w:t>
      </w:r>
      <w:r w:rsidRPr="00F668EF">
        <w:rPr>
          <w:rFonts w:ascii="Arial" w:hAnsi="Arial" w:cs="Arial"/>
          <w:b/>
          <w:bCs/>
          <w:i/>
          <w:iCs/>
          <w:sz w:val="20"/>
          <w:szCs w:val="20"/>
          <w:lang w:val="es-ES_tradnl"/>
        </w:rPr>
        <w:t>“Provincia de San Luis c/Estado Nacional s/Acción Declarativa de Inconstitucionalidad y Cobro de Pesos (23/08/2022)”</w:t>
      </w:r>
      <w:r w:rsidRPr="00F668EF">
        <w:rPr>
          <w:rFonts w:ascii="Arial" w:hAnsi="Arial" w:cs="Arial"/>
          <w:sz w:val="20"/>
          <w:szCs w:val="20"/>
          <w:lang w:val="es-ES_tradnl"/>
        </w:rPr>
        <w:t>.</w:t>
      </w:r>
    </w:p>
    <w:p w14:paraId="5F388DB9" w14:textId="77777777" w:rsidR="00F668EF" w:rsidRPr="00CA58FA" w:rsidRDefault="00FF3878" w:rsidP="00FF3878">
      <w:pPr>
        <w:snapToGrid w:val="0"/>
        <w:spacing w:after="240" w:line="360" w:lineRule="auto"/>
        <w:jc w:val="both"/>
        <w:rPr>
          <w:rFonts w:ascii="Arial" w:hAnsi="Arial" w:cs="Arial"/>
          <w:b/>
          <w:bCs/>
          <w:sz w:val="20"/>
          <w:szCs w:val="20"/>
          <w:u w:val="single"/>
          <w:lang w:val="es-ES_tradnl"/>
        </w:rPr>
      </w:pPr>
      <w:r w:rsidRPr="00CA58FA">
        <w:rPr>
          <w:rFonts w:ascii="Arial" w:hAnsi="Arial" w:cs="Arial"/>
          <w:b/>
          <w:bCs/>
          <w:sz w:val="20"/>
          <w:szCs w:val="20"/>
          <w:u w:val="single"/>
          <w:lang w:val="es-ES_tradnl"/>
        </w:rPr>
        <w:t>Corte Suprema de Justicia de la Nación</w:t>
      </w:r>
    </w:p>
    <w:p w14:paraId="17A1ED78" w14:textId="77777777" w:rsidR="00A813F3" w:rsidRDefault="00FF3878" w:rsidP="006163D4">
      <w:pPr>
        <w:pStyle w:val="Prrafodelista"/>
        <w:numPr>
          <w:ilvl w:val="0"/>
          <w:numId w:val="3"/>
        </w:numPr>
        <w:snapToGrid w:val="0"/>
        <w:spacing w:after="240" w:line="360" w:lineRule="auto"/>
        <w:ind w:left="714" w:hanging="357"/>
        <w:contextualSpacing w:val="0"/>
        <w:jc w:val="both"/>
        <w:rPr>
          <w:rFonts w:ascii="Arial" w:hAnsi="Arial" w:cs="Arial"/>
          <w:sz w:val="20"/>
          <w:szCs w:val="20"/>
          <w:lang w:val="es-ES_tradnl"/>
        </w:rPr>
      </w:pPr>
      <w:r w:rsidRPr="006163D4">
        <w:rPr>
          <w:rFonts w:ascii="Arial" w:hAnsi="Arial" w:cs="Arial"/>
          <w:sz w:val="20"/>
          <w:szCs w:val="20"/>
          <w:lang w:val="es-ES_tradnl"/>
        </w:rPr>
        <w:t xml:space="preserve">Impuesto sobre los Ingresos Brutos. Alícuota diferencial por permitir a los bancos que tienen </w:t>
      </w:r>
      <w:r w:rsidR="00CA58FA" w:rsidRPr="006163D4">
        <w:rPr>
          <w:rFonts w:ascii="Arial" w:hAnsi="Arial" w:cs="Arial"/>
          <w:sz w:val="20"/>
          <w:szCs w:val="20"/>
          <w:lang w:val="es-ES_tradnl"/>
        </w:rPr>
        <w:t>más</w:t>
      </w:r>
      <w:r w:rsidRPr="006163D4">
        <w:rPr>
          <w:rFonts w:ascii="Arial" w:hAnsi="Arial" w:cs="Arial"/>
          <w:sz w:val="20"/>
          <w:szCs w:val="20"/>
          <w:lang w:val="es-ES_tradnl"/>
        </w:rPr>
        <w:t xml:space="preserve"> de cinco sucursales en la provincia la deducción </w:t>
      </w:r>
      <w:r w:rsidR="00CA58FA" w:rsidRPr="006163D4">
        <w:rPr>
          <w:rFonts w:ascii="Arial" w:hAnsi="Arial" w:cs="Arial"/>
          <w:sz w:val="20"/>
          <w:szCs w:val="20"/>
          <w:lang w:val="es-ES_tradnl"/>
        </w:rPr>
        <w:t>de la nómina salarial y contribuciones patronales correspondiente a los empleados que presten servicio en la jurisdicción</w:t>
      </w:r>
      <w:r w:rsidRPr="006163D4">
        <w:rPr>
          <w:rFonts w:ascii="Arial" w:hAnsi="Arial" w:cs="Arial"/>
          <w:sz w:val="20"/>
          <w:szCs w:val="20"/>
          <w:lang w:val="es-ES_tradnl"/>
        </w:rPr>
        <w:t xml:space="preserve">. </w:t>
      </w:r>
      <w:r w:rsidR="006163D4" w:rsidRPr="006163D4">
        <w:rPr>
          <w:rFonts w:ascii="Arial" w:hAnsi="Arial" w:cs="Arial"/>
          <w:sz w:val="20"/>
          <w:szCs w:val="20"/>
          <w:lang w:val="es-ES_tradnl"/>
        </w:rPr>
        <w:t>Se entabla una acción colectiva. Se plantea la i</w:t>
      </w:r>
      <w:r w:rsidR="00CA58FA" w:rsidRPr="006163D4">
        <w:rPr>
          <w:rFonts w:ascii="Arial" w:hAnsi="Arial" w:cs="Arial"/>
          <w:sz w:val="20"/>
          <w:szCs w:val="20"/>
          <w:lang w:val="es-ES_tradnl"/>
        </w:rPr>
        <w:t>ntromisión en el funcionamiento del sistema bancario</w:t>
      </w:r>
      <w:r w:rsidR="006163D4" w:rsidRPr="006163D4">
        <w:rPr>
          <w:rFonts w:ascii="Arial" w:hAnsi="Arial" w:cs="Arial"/>
          <w:sz w:val="20"/>
          <w:szCs w:val="20"/>
          <w:lang w:val="es-ES_tradnl"/>
        </w:rPr>
        <w:t xml:space="preserve"> y, en consecuencia, se solicita la c</w:t>
      </w:r>
      <w:r w:rsidR="00CA58FA" w:rsidRPr="006163D4">
        <w:rPr>
          <w:rFonts w:ascii="Arial" w:hAnsi="Arial" w:cs="Arial"/>
          <w:sz w:val="20"/>
          <w:szCs w:val="20"/>
          <w:lang w:val="es-ES_tradnl"/>
        </w:rPr>
        <w:t xml:space="preserve">itación como tercero del BCRA. </w:t>
      </w:r>
      <w:r w:rsidR="006163D4" w:rsidRPr="006163D4">
        <w:rPr>
          <w:rFonts w:ascii="Arial" w:hAnsi="Arial" w:cs="Arial"/>
          <w:sz w:val="20"/>
          <w:szCs w:val="20"/>
          <w:lang w:val="es-ES_tradnl"/>
        </w:rPr>
        <w:t>Además,</w:t>
      </w:r>
      <w:r w:rsidR="006163D4">
        <w:rPr>
          <w:rFonts w:ascii="Arial" w:hAnsi="Arial" w:cs="Arial"/>
          <w:sz w:val="20"/>
          <w:szCs w:val="20"/>
          <w:lang w:val="es-ES_tradnl"/>
        </w:rPr>
        <w:t xml:space="preserve"> </w:t>
      </w:r>
      <w:r w:rsidR="006163D4" w:rsidRPr="006163D4">
        <w:rPr>
          <w:rFonts w:ascii="Arial" w:hAnsi="Arial" w:cs="Arial"/>
          <w:sz w:val="20"/>
          <w:szCs w:val="20"/>
          <w:lang w:val="es-ES_tradnl"/>
        </w:rPr>
        <w:t xml:space="preserve">se solicita una </w:t>
      </w:r>
      <w:r w:rsidR="00CA58FA" w:rsidRPr="006163D4">
        <w:rPr>
          <w:rFonts w:ascii="Arial" w:hAnsi="Arial" w:cs="Arial"/>
          <w:sz w:val="20"/>
          <w:szCs w:val="20"/>
          <w:lang w:val="es-ES_tradnl"/>
        </w:rPr>
        <w:t xml:space="preserve">medida cautelar. La CSJN, </w:t>
      </w:r>
      <w:r w:rsidR="006163D4">
        <w:rPr>
          <w:rFonts w:ascii="Arial" w:hAnsi="Arial" w:cs="Arial"/>
          <w:sz w:val="20"/>
          <w:szCs w:val="20"/>
          <w:lang w:val="es-ES_tradnl"/>
        </w:rPr>
        <w:t>hace lugar a su competencia originaria, pero rechaza la citación, como tercero, del BCRA y el otorgamiento de la medida cautelar.</w:t>
      </w:r>
      <w:r w:rsidR="006163D4" w:rsidRPr="006163D4">
        <w:t xml:space="preserve"> </w:t>
      </w:r>
      <w:r w:rsidR="006163D4" w:rsidRPr="006163D4">
        <w:rPr>
          <w:rFonts w:ascii="Arial" w:hAnsi="Arial" w:cs="Arial"/>
          <w:b/>
          <w:bCs/>
          <w:sz w:val="20"/>
          <w:szCs w:val="20"/>
          <w:lang w:val="es-ES_tradnl"/>
        </w:rPr>
        <w:t>“</w:t>
      </w:r>
      <w:r w:rsidR="006163D4" w:rsidRPr="006163D4">
        <w:rPr>
          <w:rFonts w:ascii="Arial" w:hAnsi="Arial" w:cs="Arial"/>
          <w:b/>
          <w:bCs/>
          <w:i/>
          <w:iCs/>
          <w:sz w:val="20"/>
          <w:szCs w:val="20"/>
          <w:lang w:val="es-ES_tradnl"/>
        </w:rPr>
        <w:t>Asociación de Bancos de la Argentina y otros c/Provincia de La Pampa s/Acción Declarativa de Certeza - Acción de Repetición (23/08/2022)”</w:t>
      </w:r>
    </w:p>
    <w:p w14:paraId="3A1FC05A" w14:textId="77777777" w:rsidR="006163D4" w:rsidRDefault="006163D4" w:rsidP="006163D4">
      <w:pPr>
        <w:pStyle w:val="Prrafodelista"/>
        <w:numPr>
          <w:ilvl w:val="0"/>
          <w:numId w:val="3"/>
        </w:numPr>
        <w:snapToGrid w:val="0"/>
        <w:spacing w:after="240" w:line="360" w:lineRule="auto"/>
        <w:ind w:left="714" w:hanging="357"/>
        <w:contextualSpacing w:val="0"/>
        <w:jc w:val="both"/>
        <w:rPr>
          <w:rFonts w:ascii="Arial" w:hAnsi="Arial" w:cs="Arial"/>
          <w:sz w:val="20"/>
          <w:szCs w:val="20"/>
          <w:lang w:val="es-ES_tradnl"/>
        </w:rPr>
      </w:pPr>
      <w:r w:rsidRPr="006163D4">
        <w:rPr>
          <w:rFonts w:ascii="Arial" w:hAnsi="Arial" w:cs="Arial"/>
          <w:sz w:val="20"/>
          <w:szCs w:val="20"/>
          <w:lang w:val="es-ES_tradnl"/>
        </w:rPr>
        <w:t>Impuesto sobre los Ingresos Brutos. Alícuota</w:t>
      </w:r>
      <w:r>
        <w:rPr>
          <w:rFonts w:ascii="Arial" w:hAnsi="Arial" w:cs="Arial"/>
          <w:sz w:val="20"/>
          <w:szCs w:val="20"/>
          <w:lang w:val="es-ES_tradnl"/>
        </w:rPr>
        <w:t>s</w:t>
      </w:r>
      <w:r w:rsidRPr="006163D4">
        <w:rPr>
          <w:rFonts w:ascii="Arial" w:hAnsi="Arial" w:cs="Arial"/>
          <w:sz w:val="20"/>
          <w:szCs w:val="20"/>
          <w:lang w:val="es-ES_tradnl"/>
        </w:rPr>
        <w:t xml:space="preserve"> diferencial</w:t>
      </w:r>
      <w:r>
        <w:rPr>
          <w:rFonts w:ascii="Arial" w:hAnsi="Arial" w:cs="Arial"/>
          <w:sz w:val="20"/>
          <w:szCs w:val="20"/>
          <w:lang w:val="es-ES_tradnl"/>
        </w:rPr>
        <w:t xml:space="preserve">es. Solicitud de </w:t>
      </w:r>
      <w:r w:rsidR="002376AD">
        <w:rPr>
          <w:rFonts w:ascii="Arial" w:hAnsi="Arial" w:cs="Arial"/>
          <w:sz w:val="20"/>
          <w:szCs w:val="20"/>
          <w:lang w:val="es-ES_tradnl"/>
        </w:rPr>
        <w:t>medida cautela. La CSJN plantea, que el otorgamiento de la cautelar “</w:t>
      </w:r>
      <w:r w:rsidR="002376AD" w:rsidRPr="002376AD">
        <w:rPr>
          <w:rFonts w:ascii="Arial" w:hAnsi="Arial" w:cs="Arial"/>
          <w:i/>
          <w:iCs/>
          <w:sz w:val="20"/>
          <w:szCs w:val="20"/>
          <w:lang w:val="es-ES_tradnl"/>
        </w:rPr>
        <w:t xml:space="preserve">exige una apreciación atenta de la realidad comprometida, con el objeto de establecer cabalmente si las secuelas que lleguen a producir los hechos que se pretenden evitar pueden restar eficacia al ulterior reconocimiento del </w:t>
      </w:r>
      <w:r w:rsidR="002376AD" w:rsidRPr="002376AD">
        <w:rPr>
          <w:rFonts w:ascii="Arial" w:hAnsi="Arial" w:cs="Arial"/>
          <w:i/>
          <w:iCs/>
          <w:sz w:val="20"/>
          <w:szCs w:val="20"/>
          <w:lang w:val="es-ES_tradnl"/>
        </w:rPr>
        <w:lastRenderedPageBreak/>
        <w:t>derecho en juego por la sentencia definitiva</w:t>
      </w:r>
      <w:r w:rsidR="00904076">
        <w:rPr>
          <w:rFonts w:ascii="Arial" w:hAnsi="Arial" w:cs="Arial"/>
          <w:i/>
          <w:iCs/>
          <w:sz w:val="20"/>
          <w:szCs w:val="20"/>
          <w:lang w:val="es-ES_tradnl"/>
        </w:rPr>
        <w:t>”</w:t>
      </w:r>
      <w:r w:rsidR="00904076" w:rsidRPr="00904076">
        <w:rPr>
          <w:rFonts w:ascii="Arial" w:hAnsi="Arial" w:cs="Arial"/>
          <w:sz w:val="20"/>
          <w:szCs w:val="20"/>
          <w:lang w:val="es-ES_tradnl"/>
        </w:rPr>
        <w:t xml:space="preserve">… </w:t>
      </w:r>
      <w:r w:rsidR="00904076">
        <w:rPr>
          <w:rFonts w:ascii="Arial" w:hAnsi="Arial" w:cs="Arial"/>
          <w:sz w:val="20"/>
          <w:szCs w:val="20"/>
          <w:lang w:val="es-ES_tradnl"/>
        </w:rPr>
        <w:t>“</w:t>
      </w:r>
      <w:r w:rsidR="00904076" w:rsidRPr="00904076">
        <w:rPr>
          <w:rFonts w:ascii="Arial" w:hAnsi="Arial" w:cs="Arial"/>
          <w:i/>
          <w:iCs/>
          <w:sz w:val="20"/>
          <w:szCs w:val="20"/>
          <w:lang w:val="es-ES_tradnl"/>
        </w:rPr>
        <w:t xml:space="preserve">a tenor de la respuesta brindada por </w:t>
      </w:r>
      <w:r w:rsidR="00904076" w:rsidRPr="001A2683">
        <w:rPr>
          <w:rFonts w:ascii="Arial" w:hAnsi="Arial" w:cs="Arial"/>
          <w:b/>
          <w:bCs/>
          <w:i/>
          <w:iCs/>
          <w:sz w:val="20"/>
          <w:szCs w:val="20"/>
          <w:lang w:val="es-ES_tradnl"/>
        </w:rPr>
        <w:t>la Provincia de Córdoba, la accionada no ha iniciado, por el momento, procedimiento de cobro alguno en concepto de diferencias por alícuotas del impuesto a los ingresos brutos, con sustento en el lugar de radicación del establecimiento productivo de la sociedad demandante, por los ejercicios fiscales aquí involucrados</w:t>
      </w:r>
      <w:r w:rsidR="00904076" w:rsidRPr="00904076">
        <w:rPr>
          <w:rFonts w:ascii="Arial" w:hAnsi="Arial" w:cs="Arial"/>
          <w:i/>
          <w:iCs/>
          <w:sz w:val="20"/>
          <w:szCs w:val="20"/>
          <w:lang w:val="es-ES_tradnl"/>
        </w:rPr>
        <w:t>. Dicho extremo</w:t>
      </w:r>
      <w:r w:rsidR="00904076">
        <w:rPr>
          <w:rFonts w:ascii="Arial" w:hAnsi="Arial" w:cs="Arial"/>
          <w:i/>
          <w:iCs/>
          <w:sz w:val="20"/>
          <w:szCs w:val="20"/>
          <w:lang w:val="es-ES_tradnl"/>
        </w:rPr>
        <w:t xml:space="preserve"> </w:t>
      </w:r>
      <w:r w:rsidR="00904076" w:rsidRPr="00904076">
        <w:rPr>
          <w:rFonts w:ascii="Arial" w:hAnsi="Arial" w:cs="Arial"/>
          <w:i/>
          <w:iCs/>
          <w:sz w:val="20"/>
          <w:szCs w:val="20"/>
          <w:lang w:val="es-ES_tradnl"/>
        </w:rPr>
        <w:t>obsta a la configuración de una situación de perjuicio inminente o irreparable (art. 232, Código Procesal Civil y Comercial de la Nación)</w:t>
      </w:r>
      <w:r w:rsidR="00904076">
        <w:rPr>
          <w:rFonts w:ascii="Arial" w:hAnsi="Arial" w:cs="Arial"/>
          <w:i/>
          <w:iCs/>
          <w:sz w:val="20"/>
          <w:szCs w:val="20"/>
          <w:lang w:val="es-ES_tradnl"/>
        </w:rPr>
        <w:t>”.</w:t>
      </w:r>
      <w:r w:rsidR="00904076" w:rsidRPr="00904076">
        <w:rPr>
          <w:rFonts w:ascii="Arial" w:hAnsi="Arial" w:cs="Arial"/>
          <w:i/>
          <w:iCs/>
          <w:sz w:val="20"/>
          <w:szCs w:val="20"/>
          <w:lang w:val="es-ES_tradnl"/>
        </w:rPr>
        <w:t xml:space="preserve"> </w:t>
      </w:r>
      <w:r w:rsidR="002376AD">
        <w:rPr>
          <w:rFonts w:ascii="Arial" w:hAnsi="Arial" w:cs="Arial"/>
          <w:sz w:val="20"/>
          <w:szCs w:val="20"/>
          <w:lang w:val="es-ES_tradnl"/>
        </w:rPr>
        <w:t xml:space="preserve">Por lo tanto, se declara la competencia originaria, pero se rechaza la medida cautelar. </w:t>
      </w:r>
      <w:r w:rsidR="002376AD" w:rsidRPr="002376AD">
        <w:rPr>
          <w:rFonts w:ascii="Arial" w:hAnsi="Arial" w:cs="Arial"/>
          <w:b/>
          <w:bCs/>
          <w:i/>
          <w:iCs/>
          <w:sz w:val="20"/>
          <w:szCs w:val="20"/>
          <w:lang w:val="es-ES_tradnl"/>
        </w:rPr>
        <w:t>“Kimberly-Clark Argentina S.A. c/ Provincia de Córdoba s/Acción Declarativa de Certeza (23/08/2022)”</w:t>
      </w:r>
      <w:r w:rsidR="002376AD">
        <w:rPr>
          <w:rFonts w:ascii="Arial" w:hAnsi="Arial" w:cs="Arial"/>
          <w:sz w:val="20"/>
          <w:szCs w:val="20"/>
          <w:lang w:val="es-ES_tradnl"/>
        </w:rPr>
        <w:t>.</w:t>
      </w:r>
    </w:p>
    <w:p w14:paraId="6F231987" w14:textId="77777777" w:rsidR="002376AD" w:rsidRPr="001A2683" w:rsidRDefault="000B41CC" w:rsidP="001A2683">
      <w:pPr>
        <w:pStyle w:val="Prrafodelista"/>
        <w:numPr>
          <w:ilvl w:val="0"/>
          <w:numId w:val="3"/>
        </w:numPr>
        <w:snapToGrid w:val="0"/>
        <w:spacing w:after="240" w:line="360" w:lineRule="auto"/>
        <w:contextualSpacing w:val="0"/>
        <w:jc w:val="both"/>
        <w:rPr>
          <w:rFonts w:ascii="Arial" w:hAnsi="Arial" w:cs="Arial"/>
          <w:sz w:val="20"/>
          <w:szCs w:val="20"/>
          <w:lang w:val="es-ES_tradnl"/>
        </w:rPr>
      </w:pPr>
      <w:r w:rsidRPr="001A2683">
        <w:rPr>
          <w:rFonts w:ascii="Arial" w:hAnsi="Arial" w:cs="Arial"/>
          <w:sz w:val="20"/>
          <w:szCs w:val="20"/>
          <w:lang w:val="es-ES_tradnl"/>
        </w:rPr>
        <w:t>Impuesto sobre los Ingresos Brutos. Alícuotas diferenciales. Declaración de inconstitucionalidad del artículo 22, de la Ley (Córdoba) 10.324. La empresa fue intimada al pago por medio de una resolución administrativa, cuyo recurso de reconsideración fue rechazado.</w:t>
      </w:r>
      <w:r w:rsidR="00CC1D4E" w:rsidRPr="001A2683">
        <w:rPr>
          <w:rFonts w:ascii="Arial" w:hAnsi="Arial" w:cs="Arial"/>
          <w:sz w:val="20"/>
          <w:szCs w:val="20"/>
          <w:lang w:val="es-ES_tradnl"/>
        </w:rPr>
        <w:t xml:space="preserve"> </w:t>
      </w:r>
      <w:r w:rsidR="00F6749E" w:rsidRPr="001A2683">
        <w:rPr>
          <w:rFonts w:ascii="Arial" w:hAnsi="Arial" w:cs="Arial"/>
          <w:sz w:val="20"/>
          <w:szCs w:val="20"/>
          <w:lang w:val="es-ES_tradnl"/>
        </w:rPr>
        <w:t xml:space="preserve">La CSJN resalta que: </w:t>
      </w:r>
      <w:r w:rsidR="00F6749E" w:rsidRPr="001A2683">
        <w:rPr>
          <w:rFonts w:ascii="Arial" w:hAnsi="Arial" w:cs="Arial"/>
          <w:i/>
          <w:iCs/>
          <w:sz w:val="20"/>
          <w:szCs w:val="20"/>
          <w:lang w:val="es-ES_tradnl"/>
        </w:rPr>
        <w:t>“de la prueba documental agregada a la causa se desprende que la actividad desplegada por la autoridad provincial tiene entidad suficiente para sumir a la actora en un estado de incertidumbre sobre la existencia, alcance y modalidad de una relación jurídica, por lo que la controversia es actual y concreta”</w:t>
      </w:r>
      <w:r w:rsidR="00F6749E" w:rsidRPr="001A2683">
        <w:rPr>
          <w:rFonts w:ascii="Arial" w:hAnsi="Arial" w:cs="Arial"/>
          <w:sz w:val="20"/>
          <w:szCs w:val="20"/>
          <w:lang w:val="es-ES_tradnl"/>
        </w:rPr>
        <w:t>. En consecuencia s</w:t>
      </w:r>
      <w:r w:rsidR="00CC1D4E" w:rsidRPr="001A2683">
        <w:rPr>
          <w:rFonts w:ascii="Arial" w:hAnsi="Arial" w:cs="Arial"/>
          <w:sz w:val="20"/>
          <w:szCs w:val="20"/>
          <w:lang w:val="es-ES_tradnl"/>
        </w:rPr>
        <w:t xml:space="preserve">e hace lugar a la acción declarativa interpuesta, declarando la inconstitucionalidad de la norma.  </w:t>
      </w:r>
      <w:r w:rsidR="00CC1D4E" w:rsidRPr="001A2683">
        <w:rPr>
          <w:rFonts w:ascii="Arial" w:hAnsi="Arial" w:cs="Arial"/>
          <w:b/>
          <w:bCs/>
          <w:i/>
          <w:iCs/>
          <w:sz w:val="20"/>
          <w:szCs w:val="20"/>
          <w:lang w:val="es-ES_tradnl"/>
        </w:rPr>
        <w:t>“Unilever de Argentina S.A. c/Provincia de Córdoba s/Acción Declarativa de Certeza (13/09/2022)”</w:t>
      </w:r>
      <w:r w:rsidR="001A2683" w:rsidRPr="001A2683">
        <w:rPr>
          <w:rFonts w:ascii="Arial" w:hAnsi="Arial" w:cs="Arial"/>
          <w:b/>
          <w:bCs/>
          <w:sz w:val="20"/>
          <w:szCs w:val="20"/>
          <w:lang w:val="es-ES_tradnl"/>
        </w:rPr>
        <w:t xml:space="preserve"> y </w:t>
      </w:r>
      <w:r w:rsidR="001A2683" w:rsidRPr="001A2683">
        <w:rPr>
          <w:rFonts w:ascii="Arial" w:hAnsi="Arial" w:cs="Arial"/>
          <w:b/>
          <w:bCs/>
          <w:i/>
          <w:iCs/>
          <w:sz w:val="20"/>
          <w:szCs w:val="20"/>
          <w:lang w:val="es-ES_tradnl"/>
        </w:rPr>
        <w:t>“Simmons de Argentina S.A.I.C. c/ Provincia de Córdoba s/Acción Declarativa de Certeza (13/09/2022)”</w:t>
      </w:r>
      <w:r w:rsidR="001A2683">
        <w:rPr>
          <w:rFonts w:ascii="Arial" w:hAnsi="Arial" w:cs="Arial"/>
          <w:b/>
          <w:bCs/>
          <w:sz w:val="20"/>
          <w:szCs w:val="20"/>
          <w:lang w:val="es-ES_tradnl"/>
        </w:rPr>
        <w:t>.</w:t>
      </w:r>
    </w:p>
    <w:p w14:paraId="30975245" w14:textId="77777777" w:rsidR="00CC1D4E" w:rsidRDefault="00F6749E" w:rsidP="006163D4">
      <w:pPr>
        <w:pStyle w:val="Prrafodelista"/>
        <w:numPr>
          <w:ilvl w:val="0"/>
          <w:numId w:val="3"/>
        </w:numPr>
        <w:snapToGrid w:val="0"/>
        <w:spacing w:after="240" w:line="360" w:lineRule="auto"/>
        <w:ind w:left="714" w:hanging="357"/>
        <w:contextualSpacing w:val="0"/>
        <w:jc w:val="both"/>
        <w:rPr>
          <w:rFonts w:ascii="Arial" w:hAnsi="Arial" w:cs="Arial"/>
          <w:sz w:val="20"/>
          <w:szCs w:val="20"/>
          <w:lang w:val="es-ES_tradnl"/>
        </w:rPr>
      </w:pPr>
      <w:r w:rsidRPr="006163D4">
        <w:rPr>
          <w:rFonts w:ascii="Arial" w:hAnsi="Arial" w:cs="Arial"/>
          <w:sz w:val="20"/>
          <w:szCs w:val="20"/>
          <w:lang w:val="es-ES_tradnl"/>
        </w:rPr>
        <w:t>Impuesto sobre los Ingresos Brutos. Alícuota</w:t>
      </w:r>
      <w:r>
        <w:rPr>
          <w:rFonts w:ascii="Arial" w:hAnsi="Arial" w:cs="Arial"/>
          <w:sz w:val="20"/>
          <w:szCs w:val="20"/>
          <w:lang w:val="es-ES_tradnl"/>
        </w:rPr>
        <w:t>s</w:t>
      </w:r>
      <w:r w:rsidRPr="006163D4">
        <w:rPr>
          <w:rFonts w:ascii="Arial" w:hAnsi="Arial" w:cs="Arial"/>
          <w:sz w:val="20"/>
          <w:szCs w:val="20"/>
          <w:lang w:val="es-ES_tradnl"/>
        </w:rPr>
        <w:t xml:space="preserve"> diferencial</w:t>
      </w:r>
      <w:r>
        <w:rPr>
          <w:rFonts w:ascii="Arial" w:hAnsi="Arial" w:cs="Arial"/>
          <w:sz w:val="20"/>
          <w:szCs w:val="20"/>
          <w:lang w:val="es-ES_tradnl"/>
        </w:rPr>
        <w:t xml:space="preserve">es. </w:t>
      </w:r>
      <w:r w:rsidR="00B556B0" w:rsidRPr="007C3AB4">
        <w:rPr>
          <w:rFonts w:ascii="Arial" w:hAnsi="Arial" w:cs="Arial"/>
          <w:b/>
          <w:bCs/>
          <w:sz w:val="20"/>
          <w:szCs w:val="20"/>
          <w:lang w:val="es-ES_tradnl"/>
        </w:rPr>
        <w:t>Ratificación del derecho de la Ciudad Autónoma de Buenos Aires a la competencia originaria de la CSJN</w:t>
      </w:r>
      <w:r w:rsidR="00B556B0">
        <w:rPr>
          <w:rFonts w:ascii="Arial" w:hAnsi="Arial" w:cs="Arial"/>
          <w:sz w:val="20"/>
          <w:szCs w:val="20"/>
          <w:lang w:val="es-ES_tradnl"/>
        </w:rPr>
        <w:t xml:space="preserve">. Por lo tanto, se declara la competencia originaria, pero se rechaza la medida cautelar (por no acreditar el peligro irreparable en la demora). </w:t>
      </w:r>
      <w:r w:rsidR="00B556B0" w:rsidRPr="00B556B0">
        <w:rPr>
          <w:rFonts w:ascii="Arial" w:hAnsi="Arial" w:cs="Arial"/>
          <w:i/>
          <w:iCs/>
          <w:sz w:val="20"/>
          <w:szCs w:val="20"/>
          <w:lang w:val="es-ES_tradnl"/>
        </w:rPr>
        <w:t>“BGH S.A. c/Gobierno de la Ciudad de Buenos Aires s/Acción Declarativa de Certeza (13/09/2022)”</w:t>
      </w:r>
      <w:r w:rsidR="00B556B0">
        <w:rPr>
          <w:rFonts w:ascii="Arial" w:hAnsi="Arial" w:cs="Arial"/>
          <w:sz w:val="20"/>
          <w:szCs w:val="20"/>
          <w:lang w:val="es-ES_tradnl"/>
        </w:rPr>
        <w:t>.</w:t>
      </w:r>
    </w:p>
    <w:p w14:paraId="383BEF38" w14:textId="77777777" w:rsidR="007C3AB4" w:rsidRDefault="008D797E" w:rsidP="008D797E">
      <w:pPr>
        <w:pStyle w:val="Prrafodelista"/>
        <w:numPr>
          <w:ilvl w:val="0"/>
          <w:numId w:val="3"/>
        </w:numPr>
        <w:snapToGrid w:val="0"/>
        <w:spacing w:after="240" w:line="360" w:lineRule="auto"/>
        <w:contextualSpacing w:val="0"/>
        <w:jc w:val="both"/>
        <w:rPr>
          <w:rFonts w:ascii="Arial" w:hAnsi="Arial" w:cs="Arial"/>
          <w:sz w:val="20"/>
          <w:szCs w:val="20"/>
          <w:lang w:val="es-ES_tradnl"/>
        </w:rPr>
      </w:pPr>
      <w:r w:rsidRPr="008D797E">
        <w:rPr>
          <w:rFonts w:ascii="Arial" w:hAnsi="Arial" w:cs="Arial"/>
          <w:sz w:val="20"/>
          <w:szCs w:val="20"/>
          <w:lang w:val="es-ES_tradnl"/>
        </w:rPr>
        <w:t>T</w:t>
      </w:r>
      <w:r w:rsidR="007C3AB4" w:rsidRPr="008D797E">
        <w:rPr>
          <w:rFonts w:ascii="Arial" w:hAnsi="Arial" w:cs="Arial"/>
          <w:sz w:val="20"/>
          <w:szCs w:val="20"/>
          <w:lang w:val="es-ES_tradnl"/>
        </w:rPr>
        <w:t xml:space="preserve">asa por el </w:t>
      </w:r>
      <w:r w:rsidRPr="008D797E">
        <w:rPr>
          <w:rFonts w:ascii="Arial" w:hAnsi="Arial" w:cs="Arial"/>
          <w:sz w:val="20"/>
          <w:szCs w:val="20"/>
          <w:lang w:val="es-ES_tradnl"/>
        </w:rPr>
        <w:t>S</w:t>
      </w:r>
      <w:r w:rsidR="007C3AB4" w:rsidRPr="008D797E">
        <w:rPr>
          <w:rFonts w:ascii="Arial" w:hAnsi="Arial" w:cs="Arial"/>
          <w:sz w:val="20"/>
          <w:szCs w:val="20"/>
          <w:lang w:val="es-ES_tradnl"/>
        </w:rPr>
        <w:t xml:space="preserve">ervicio de </w:t>
      </w:r>
      <w:r w:rsidRPr="008D797E">
        <w:rPr>
          <w:rFonts w:ascii="Arial" w:hAnsi="Arial" w:cs="Arial"/>
          <w:sz w:val="20"/>
          <w:szCs w:val="20"/>
          <w:lang w:val="es-ES_tradnl"/>
        </w:rPr>
        <w:t>I</w:t>
      </w:r>
      <w:r w:rsidR="007C3AB4" w:rsidRPr="008D797E">
        <w:rPr>
          <w:rFonts w:ascii="Arial" w:hAnsi="Arial" w:cs="Arial"/>
          <w:sz w:val="20"/>
          <w:szCs w:val="20"/>
          <w:lang w:val="es-ES_tradnl"/>
        </w:rPr>
        <w:t xml:space="preserve">nspección </w:t>
      </w:r>
      <w:r w:rsidRPr="008D797E">
        <w:rPr>
          <w:rFonts w:ascii="Arial" w:hAnsi="Arial" w:cs="Arial"/>
          <w:sz w:val="20"/>
          <w:szCs w:val="20"/>
          <w:lang w:val="es-ES_tradnl"/>
        </w:rPr>
        <w:t>(</w:t>
      </w:r>
      <w:r w:rsidR="007C3AB4" w:rsidRPr="008D797E">
        <w:rPr>
          <w:rFonts w:ascii="Arial" w:hAnsi="Arial" w:cs="Arial"/>
          <w:sz w:val="20"/>
          <w:szCs w:val="20"/>
          <w:lang w:val="es-ES_tradnl"/>
        </w:rPr>
        <w:t>fiscalización higiénico-sanitaria de los productos lácteos</w:t>
      </w:r>
      <w:r w:rsidRPr="008D797E">
        <w:rPr>
          <w:rFonts w:ascii="Arial" w:hAnsi="Arial" w:cs="Arial"/>
          <w:sz w:val="20"/>
          <w:szCs w:val="20"/>
          <w:lang w:val="es-ES_tradnl"/>
        </w:rPr>
        <w:t xml:space="preserve">). Ante la solicitud de la medida cautelar la Corte expresa que: </w:t>
      </w:r>
      <w:r w:rsidRPr="008D797E">
        <w:rPr>
          <w:rFonts w:ascii="Arial" w:hAnsi="Arial" w:cs="Arial"/>
          <w:i/>
          <w:iCs/>
          <w:sz w:val="20"/>
          <w:szCs w:val="20"/>
          <w:lang w:val="es-ES_tradnl"/>
        </w:rPr>
        <w:t xml:space="preserve">“…con relación a la pretensión cautelar, en las causas citadas se dictó sentencia en sentido favorable a las posiciones de las actoras, circunstancia que el Tribunal no puede dejar de ponderar y que, junto con la configuración de los presupuestos necesarios, </w:t>
      </w:r>
      <w:r w:rsidRPr="008D797E">
        <w:rPr>
          <w:rFonts w:ascii="Arial" w:hAnsi="Arial" w:cs="Arial"/>
          <w:b/>
          <w:bCs/>
          <w:i/>
          <w:iCs/>
          <w:sz w:val="20"/>
          <w:szCs w:val="20"/>
          <w:lang w:val="es-ES_tradnl"/>
        </w:rPr>
        <w:t>torna procedente apartarse del criterio restrictivo con que deben considerarse el tipo de medidas como la aquí requerida</w:t>
      </w:r>
      <w:r w:rsidRPr="008D797E">
        <w:rPr>
          <w:rFonts w:ascii="Arial" w:hAnsi="Arial" w:cs="Arial"/>
          <w:i/>
          <w:iCs/>
          <w:sz w:val="20"/>
          <w:szCs w:val="20"/>
          <w:lang w:val="es-ES_tradnl"/>
        </w:rPr>
        <w:t>…”</w:t>
      </w:r>
      <w:r w:rsidRPr="008D797E">
        <w:rPr>
          <w:rFonts w:ascii="Arial" w:hAnsi="Arial" w:cs="Arial"/>
          <w:sz w:val="20"/>
          <w:szCs w:val="20"/>
          <w:lang w:val="es-ES_tradnl"/>
        </w:rPr>
        <w:t xml:space="preserve">. Por lo tanto, se declara la competencia originaria y se otorga la medida cautelar. </w:t>
      </w:r>
      <w:r w:rsidRPr="008D797E">
        <w:rPr>
          <w:rFonts w:ascii="Arial" w:hAnsi="Arial" w:cs="Arial"/>
          <w:b/>
          <w:bCs/>
          <w:i/>
          <w:iCs/>
          <w:sz w:val="20"/>
          <w:szCs w:val="20"/>
          <w:lang w:val="es-ES_tradnl"/>
        </w:rPr>
        <w:t>“Alimentos Magros S.A. c/Provincia de Mendoza s/Acción Declarativa de Certeza (23/08/2022)”</w:t>
      </w:r>
      <w:r>
        <w:rPr>
          <w:rFonts w:ascii="Arial" w:hAnsi="Arial" w:cs="Arial"/>
          <w:sz w:val="20"/>
          <w:szCs w:val="20"/>
          <w:lang w:val="es-ES_tradnl"/>
        </w:rPr>
        <w:t>.</w:t>
      </w:r>
    </w:p>
    <w:p w14:paraId="6E54FC20" w14:textId="77777777" w:rsidR="00C94FD8" w:rsidRPr="00C94FD8" w:rsidRDefault="00C94FD8" w:rsidP="00BC23EB">
      <w:pPr>
        <w:snapToGrid w:val="0"/>
        <w:spacing w:after="240" w:line="360" w:lineRule="auto"/>
        <w:jc w:val="both"/>
        <w:rPr>
          <w:rFonts w:ascii="Arial" w:hAnsi="Arial" w:cs="Arial"/>
          <w:b/>
          <w:bCs/>
          <w:sz w:val="20"/>
          <w:szCs w:val="20"/>
          <w:u w:val="single"/>
          <w:lang w:val="es-ES_tradnl"/>
        </w:rPr>
      </w:pPr>
      <w:r>
        <w:rPr>
          <w:rFonts w:ascii="Arial" w:hAnsi="Arial" w:cs="Arial"/>
          <w:b/>
          <w:bCs/>
          <w:sz w:val="20"/>
          <w:szCs w:val="20"/>
          <w:u w:val="single"/>
          <w:lang w:val="es-ES_tradnl"/>
        </w:rPr>
        <w:t>Procuración General de la Nación</w:t>
      </w:r>
    </w:p>
    <w:p w14:paraId="4D594E16" w14:textId="337E5F40" w:rsidR="00C94FD8" w:rsidRDefault="00C94FD8" w:rsidP="008D797E">
      <w:pPr>
        <w:pStyle w:val="Prrafodelista"/>
        <w:numPr>
          <w:ilvl w:val="0"/>
          <w:numId w:val="3"/>
        </w:numPr>
        <w:snapToGrid w:val="0"/>
        <w:spacing w:after="240" w:line="360" w:lineRule="auto"/>
        <w:contextualSpacing w:val="0"/>
        <w:jc w:val="both"/>
        <w:rPr>
          <w:rFonts w:ascii="Arial" w:hAnsi="Arial" w:cs="Arial"/>
          <w:sz w:val="20"/>
          <w:szCs w:val="20"/>
          <w:lang w:val="es-ES_tradnl"/>
        </w:rPr>
      </w:pPr>
      <w:r>
        <w:rPr>
          <w:rFonts w:ascii="Arial" w:hAnsi="Arial" w:cs="Arial"/>
          <w:bCs/>
          <w:iCs/>
          <w:sz w:val="20"/>
          <w:szCs w:val="20"/>
          <w:lang w:val="es-ES_tradnl"/>
        </w:rPr>
        <w:lastRenderedPageBreak/>
        <w:t>Impuesto sobre los Ingresos Brutos y Fondo para la salud pública (FPS). Tarifas de referencia establecidas por decreto nacional y no consideración del impuesto sobre los ingresos brutos. En relación al FPS. Su caracterización como impuesto</w:t>
      </w:r>
      <w:r w:rsidR="0095790B">
        <w:rPr>
          <w:rFonts w:ascii="Arial" w:hAnsi="Arial" w:cs="Arial"/>
          <w:bCs/>
          <w:iCs/>
          <w:sz w:val="20"/>
          <w:szCs w:val="20"/>
          <w:lang w:val="es-ES_tradnl"/>
        </w:rPr>
        <w:t xml:space="preserve"> y no consideración del impuesto sobre los ingresos brutos.</w:t>
      </w:r>
      <w:r>
        <w:rPr>
          <w:rFonts w:ascii="Arial" w:hAnsi="Arial" w:cs="Arial"/>
          <w:bCs/>
          <w:iCs/>
          <w:sz w:val="20"/>
          <w:szCs w:val="20"/>
          <w:lang w:val="es-ES_tradnl"/>
        </w:rPr>
        <w:t xml:space="preserve"> </w:t>
      </w:r>
      <w:r>
        <w:rPr>
          <w:rFonts w:ascii="Arial" w:hAnsi="Arial" w:cs="Arial"/>
          <w:b/>
          <w:bCs/>
          <w:i/>
          <w:iCs/>
          <w:sz w:val="20"/>
          <w:szCs w:val="20"/>
          <w:lang w:val="es-ES_tradnl"/>
        </w:rPr>
        <w:t>“</w:t>
      </w:r>
      <w:proofErr w:type="spellStart"/>
      <w:r w:rsidRPr="00C94FD8">
        <w:rPr>
          <w:rFonts w:ascii="Arial" w:hAnsi="Arial" w:cs="Arial"/>
          <w:b/>
          <w:bCs/>
          <w:i/>
          <w:iCs/>
          <w:sz w:val="20"/>
          <w:szCs w:val="20"/>
          <w:lang w:val="es-ES_tradnl"/>
        </w:rPr>
        <w:t>Derudder</w:t>
      </w:r>
      <w:proofErr w:type="spellEnd"/>
      <w:r w:rsidRPr="00C94FD8">
        <w:rPr>
          <w:rFonts w:ascii="Arial" w:hAnsi="Arial" w:cs="Arial"/>
          <w:b/>
          <w:bCs/>
          <w:i/>
          <w:iCs/>
          <w:sz w:val="20"/>
          <w:szCs w:val="20"/>
          <w:lang w:val="es-ES_tradnl"/>
        </w:rPr>
        <w:t xml:space="preserve"> Hermanos </w:t>
      </w:r>
      <w:proofErr w:type="spellStart"/>
      <w:r w:rsidRPr="00C94FD8">
        <w:rPr>
          <w:rFonts w:ascii="Arial" w:hAnsi="Arial" w:cs="Arial"/>
          <w:b/>
          <w:bCs/>
          <w:i/>
          <w:iCs/>
          <w:sz w:val="20"/>
          <w:szCs w:val="20"/>
          <w:lang w:val="es-ES_tradnl"/>
        </w:rPr>
        <w:t>s.r.l</w:t>
      </w:r>
      <w:proofErr w:type="spellEnd"/>
      <w:r w:rsidRPr="00C94FD8">
        <w:rPr>
          <w:rFonts w:ascii="Arial" w:hAnsi="Arial" w:cs="Arial"/>
          <w:b/>
          <w:bCs/>
          <w:i/>
          <w:iCs/>
          <w:sz w:val="20"/>
          <w:szCs w:val="20"/>
          <w:lang w:val="es-ES_tradnl"/>
        </w:rPr>
        <w:t>. C/ Chaco, Provincia del s/ acción declarativa de inconstitucionalidad</w:t>
      </w:r>
      <w:r>
        <w:rPr>
          <w:rFonts w:ascii="Arial" w:hAnsi="Arial" w:cs="Arial"/>
          <w:b/>
          <w:bCs/>
          <w:i/>
          <w:iCs/>
          <w:sz w:val="20"/>
          <w:szCs w:val="20"/>
          <w:lang w:val="es-ES_tradnl"/>
        </w:rPr>
        <w:t xml:space="preserve"> </w:t>
      </w:r>
      <w:r w:rsidRPr="008D797E">
        <w:rPr>
          <w:rFonts w:ascii="Arial" w:hAnsi="Arial" w:cs="Arial"/>
          <w:b/>
          <w:bCs/>
          <w:i/>
          <w:iCs/>
          <w:sz w:val="20"/>
          <w:szCs w:val="20"/>
          <w:lang w:val="es-ES_tradnl"/>
        </w:rPr>
        <w:t>(</w:t>
      </w:r>
      <w:r>
        <w:rPr>
          <w:rFonts w:ascii="Arial" w:hAnsi="Arial" w:cs="Arial"/>
          <w:b/>
          <w:bCs/>
          <w:i/>
          <w:iCs/>
          <w:sz w:val="20"/>
          <w:szCs w:val="20"/>
          <w:lang w:val="es-ES_tradnl"/>
        </w:rPr>
        <w:t>17</w:t>
      </w:r>
      <w:r w:rsidRPr="008D797E">
        <w:rPr>
          <w:rFonts w:ascii="Arial" w:hAnsi="Arial" w:cs="Arial"/>
          <w:b/>
          <w:bCs/>
          <w:i/>
          <w:iCs/>
          <w:sz w:val="20"/>
          <w:szCs w:val="20"/>
          <w:lang w:val="es-ES_tradnl"/>
        </w:rPr>
        <w:t>/08/2022)”</w:t>
      </w:r>
      <w:r>
        <w:rPr>
          <w:rFonts w:ascii="Arial" w:hAnsi="Arial" w:cs="Arial"/>
          <w:sz w:val="20"/>
          <w:szCs w:val="20"/>
          <w:lang w:val="es-ES_tradnl"/>
        </w:rPr>
        <w:t>.</w:t>
      </w:r>
    </w:p>
    <w:p w14:paraId="76158292" w14:textId="77777777" w:rsidR="005D2F33" w:rsidRPr="005D2F33" w:rsidRDefault="00AF2E84" w:rsidP="005D2F33">
      <w:pPr>
        <w:snapToGrid w:val="0"/>
        <w:spacing w:after="240" w:line="360" w:lineRule="auto"/>
        <w:jc w:val="both"/>
        <w:rPr>
          <w:rFonts w:ascii="Arial" w:hAnsi="Arial" w:cs="Arial"/>
          <w:b/>
          <w:bCs/>
          <w:sz w:val="20"/>
          <w:szCs w:val="20"/>
          <w:u w:val="single"/>
          <w:lang w:val="es-ES_tradnl"/>
        </w:rPr>
      </w:pPr>
      <w:r>
        <w:rPr>
          <w:rFonts w:ascii="Arial" w:hAnsi="Arial" w:cs="Arial"/>
          <w:b/>
          <w:bCs/>
          <w:sz w:val="20"/>
          <w:szCs w:val="20"/>
          <w:u w:val="single"/>
          <w:lang w:val="es-ES_tradnl"/>
        </w:rPr>
        <w:t>Tribunal Superior de Justicia de la Ciudad de Buenos Aires</w:t>
      </w:r>
    </w:p>
    <w:p w14:paraId="323F206A" w14:textId="77777777" w:rsidR="005D2F33" w:rsidRPr="00CA7762" w:rsidRDefault="00121CCD" w:rsidP="00C94FD8">
      <w:pPr>
        <w:pStyle w:val="Prrafodelista"/>
        <w:numPr>
          <w:ilvl w:val="0"/>
          <w:numId w:val="3"/>
        </w:numPr>
        <w:snapToGrid w:val="0"/>
        <w:spacing w:after="240" w:line="360" w:lineRule="auto"/>
        <w:contextualSpacing w:val="0"/>
        <w:jc w:val="both"/>
        <w:rPr>
          <w:rFonts w:ascii="Arial" w:hAnsi="Arial" w:cs="Arial"/>
          <w:sz w:val="20"/>
          <w:szCs w:val="20"/>
          <w:lang w:val="es-ES_tradnl"/>
        </w:rPr>
      </w:pPr>
      <w:r>
        <w:rPr>
          <w:rFonts w:ascii="Arial" w:hAnsi="Arial" w:cs="Arial"/>
          <w:sz w:val="20"/>
          <w:szCs w:val="20"/>
          <w:lang w:val="es-ES_tradnl"/>
        </w:rPr>
        <w:t xml:space="preserve">Impuesto de Sellos. </w:t>
      </w:r>
      <w:r w:rsidR="00CA7762">
        <w:rPr>
          <w:rFonts w:ascii="Arial" w:hAnsi="Arial" w:cs="Arial"/>
          <w:sz w:val="20"/>
          <w:szCs w:val="20"/>
          <w:lang w:val="es-ES_tradnl"/>
        </w:rPr>
        <w:t>Órdenes</w:t>
      </w:r>
      <w:r>
        <w:rPr>
          <w:rFonts w:ascii="Arial" w:hAnsi="Arial" w:cs="Arial"/>
          <w:sz w:val="20"/>
          <w:szCs w:val="20"/>
          <w:lang w:val="es-ES_tradnl"/>
        </w:rPr>
        <w:t xml:space="preserve"> de Compra. La Dra. Weinberg plantea que: </w:t>
      </w:r>
      <w:r w:rsidRPr="00121CCD">
        <w:rPr>
          <w:rFonts w:ascii="Arial" w:hAnsi="Arial" w:cs="Arial"/>
          <w:i/>
          <w:iCs/>
          <w:sz w:val="20"/>
          <w:szCs w:val="20"/>
          <w:lang w:val="es-ES_tradnl"/>
        </w:rPr>
        <w:t>“el argumento central en que se funda la sentencia de la Cámara consiste en que las órdenes de compra que aquí se discuten no reúnen la condición de ser autosuficientes en el sentido de que a través de ellas pueda exigirse el cumplimiento de las obligaciones allí plasmadas sin necesidad de otro documento, en los términos de la ley de Coparticipación Federal de Impuestos”</w:t>
      </w:r>
      <w:r>
        <w:rPr>
          <w:rFonts w:ascii="Arial" w:hAnsi="Arial" w:cs="Arial"/>
          <w:sz w:val="20"/>
          <w:szCs w:val="20"/>
          <w:lang w:val="es-ES_tradnl"/>
        </w:rPr>
        <w:t>. D</w:t>
      </w:r>
      <w:r w:rsidRPr="00121CCD">
        <w:rPr>
          <w:rFonts w:ascii="Arial" w:hAnsi="Arial" w:cs="Arial"/>
          <w:sz w:val="20"/>
          <w:szCs w:val="20"/>
          <w:lang w:val="es-ES_tradnl"/>
        </w:rPr>
        <w:t xml:space="preserve">e acuerdo con lo dictaminado por el </w:t>
      </w:r>
      <w:r w:rsidR="008107D4" w:rsidRPr="00121CCD">
        <w:rPr>
          <w:rFonts w:ascii="Arial" w:hAnsi="Arial" w:cs="Arial"/>
          <w:sz w:val="20"/>
          <w:szCs w:val="20"/>
          <w:lang w:val="es-ES_tradnl"/>
        </w:rPr>
        <w:t>fiscal general</w:t>
      </w:r>
      <w:r w:rsidRPr="00121CCD">
        <w:rPr>
          <w:rFonts w:ascii="Arial" w:hAnsi="Arial" w:cs="Arial"/>
          <w:sz w:val="20"/>
          <w:szCs w:val="20"/>
          <w:lang w:val="es-ES_tradnl"/>
        </w:rPr>
        <w:t xml:space="preserve"> </w:t>
      </w:r>
      <w:r w:rsidR="008107D4">
        <w:rPr>
          <w:rFonts w:ascii="Arial" w:hAnsi="Arial" w:cs="Arial"/>
          <w:sz w:val="20"/>
          <w:szCs w:val="20"/>
          <w:lang w:val="es-ES_tradnl"/>
        </w:rPr>
        <w:t>a</w:t>
      </w:r>
      <w:r w:rsidRPr="00121CCD">
        <w:rPr>
          <w:rFonts w:ascii="Arial" w:hAnsi="Arial" w:cs="Arial"/>
          <w:sz w:val="20"/>
          <w:szCs w:val="20"/>
          <w:lang w:val="es-ES_tradnl"/>
        </w:rPr>
        <w:t>djunto, el Tribunal Superior de Justicia rechaza la queja interpuesta por el Gobierno de la Ciudad Autónoma de Buenos Aires</w:t>
      </w:r>
      <w:r>
        <w:rPr>
          <w:rFonts w:ascii="Arial" w:hAnsi="Arial" w:cs="Arial"/>
          <w:sz w:val="20"/>
          <w:szCs w:val="20"/>
          <w:lang w:val="es-ES_tradnl"/>
        </w:rPr>
        <w:t xml:space="preserve">. </w:t>
      </w:r>
      <w:r w:rsidRPr="00121CCD">
        <w:rPr>
          <w:rFonts w:ascii="Arial" w:hAnsi="Arial" w:cs="Arial"/>
          <w:b/>
          <w:bCs/>
          <w:i/>
          <w:iCs/>
          <w:sz w:val="20"/>
          <w:szCs w:val="20"/>
          <w:lang w:val="es-ES_tradnl"/>
        </w:rPr>
        <w:t>“GCBA s/Queja por Recurso de Inconstitucionalidad Denegado en/Verónica SACIAFEI c/Agencia Gubernamental de Ingresos Públicos (AGIP) s/Otras Demandas contra Autoridad Administrativa (15/06/2022)”.</w:t>
      </w:r>
    </w:p>
    <w:p w14:paraId="3ACB4246" w14:textId="77777777" w:rsidR="00CA7762" w:rsidRPr="00121CCD" w:rsidRDefault="00CA7762" w:rsidP="00C94FD8">
      <w:pPr>
        <w:pStyle w:val="Prrafodelista"/>
        <w:numPr>
          <w:ilvl w:val="0"/>
          <w:numId w:val="3"/>
        </w:numPr>
        <w:snapToGrid w:val="0"/>
        <w:spacing w:after="240" w:line="360" w:lineRule="auto"/>
        <w:ind w:left="714" w:hanging="357"/>
        <w:contextualSpacing w:val="0"/>
        <w:jc w:val="both"/>
        <w:rPr>
          <w:rFonts w:ascii="Arial" w:hAnsi="Arial" w:cs="Arial"/>
          <w:sz w:val="20"/>
          <w:szCs w:val="20"/>
          <w:lang w:val="es-ES_tradnl"/>
        </w:rPr>
      </w:pPr>
      <w:r>
        <w:rPr>
          <w:rFonts w:ascii="Arial" w:hAnsi="Arial" w:cs="Arial"/>
          <w:bCs/>
          <w:iCs/>
          <w:sz w:val="20"/>
          <w:szCs w:val="20"/>
          <w:lang w:val="es-ES_tradnl"/>
        </w:rPr>
        <w:t xml:space="preserve">Impuesto sobre los Ingresos Brutos. Determinación de oficio sobre base presunta. Gravabilidad de ingresos de otras jurisdicciones. Principio de territorialidad.  La Dra. De </w:t>
      </w:r>
      <w:proofErr w:type="spellStart"/>
      <w:r>
        <w:rPr>
          <w:rFonts w:ascii="Arial" w:hAnsi="Arial" w:cs="Arial"/>
          <w:bCs/>
          <w:iCs/>
          <w:sz w:val="20"/>
          <w:szCs w:val="20"/>
          <w:lang w:val="es-ES_tradnl"/>
        </w:rPr>
        <w:t>Langhe</w:t>
      </w:r>
      <w:proofErr w:type="spellEnd"/>
      <w:r>
        <w:rPr>
          <w:rFonts w:ascii="Arial" w:hAnsi="Arial" w:cs="Arial"/>
          <w:bCs/>
          <w:iCs/>
          <w:sz w:val="20"/>
          <w:szCs w:val="20"/>
          <w:lang w:val="es-ES_tradnl"/>
        </w:rPr>
        <w:t xml:space="preserve"> indicó que </w:t>
      </w:r>
      <w:r w:rsidRPr="00CA7762">
        <w:rPr>
          <w:rFonts w:ascii="Arial" w:hAnsi="Arial" w:cs="Arial"/>
          <w:bCs/>
          <w:iCs/>
          <w:sz w:val="20"/>
          <w:szCs w:val="20"/>
          <w:lang w:val="es-ES_tradnl"/>
        </w:rPr>
        <w:t>"</w:t>
      </w:r>
      <w:r w:rsidRPr="00CA7762">
        <w:rPr>
          <w:rFonts w:ascii="Arial" w:hAnsi="Arial" w:cs="Arial"/>
          <w:bCs/>
          <w:i/>
          <w:iCs/>
          <w:sz w:val="20"/>
          <w:szCs w:val="20"/>
          <w:lang w:val="es-ES_tradnl"/>
        </w:rPr>
        <w:t>la omisión de la aquí recurrente en anotarse en el CM no autoriza a violentar el principio de realidad económica ni a alterar el sustento territorial del ISIB, ni menos aun a gravar actividades económicas que no se desarrollan en el ámbito territorial de la Ciudad de Buenos Aires</w:t>
      </w:r>
      <w:r>
        <w:rPr>
          <w:rFonts w:ascii="Arial" w:hAnsi="Arial" w:cs="Arial"/>
          <w:bCs/>
          <w:iCs/>
          <w:sz w:val="20"/>
          <w:szCs w:val="20"/>
          <w:lang w:val="es-ES_tradnl"/>
        </w:rPr>
        <w:t>”</w:t>
      </w:r>
      <w:r w:rsidR="00994580">
        <w:rPr>
          <w:rFonts w:ascii="Arial" w:hAnsi="Arial" w:cs="Arial"/>
          <w:bCs/>
          <w:iCs/>
          <w:sz w:val="20"/>
          <w:szCs w:val="20"/>
          <w:lang w:val="es-ES_tradnl"/>
        </w:rPr>
        <w:t>. E</w:t>
      </w:r>
      <w:r w:rsidR="00994580" w:rsidRPr="00121CCD">
        <w:rPr>
          <w:rFonts w:ascii="Arial" w:hAnsi="Arial" w:cs="Arial"/>
          <w:sz w:val="20"/>
          <w:szCs w:val="20"/>
          <w:lang w:val="es-ES_tradnl"/>
        </w:rPr>
        <w:t>l Tribunal Superior de Justicia rechaza la queja interpuesta por el Gobierno de la Ciudad Autónoma de Buenos Aires</w:t>
      </w:r>
      <w:r w:rsidR="00994580">
        <w:rPr>
          <w:rFonts w:ascii="Arial" w:hAnsi="Arial" w:cs="Arial"/>
          <w:sz w:val="20"/>
          <w:szCs w:val="20"/>
          <w:lang w:val="es-ES_tradnl"/>
        </w:rPr>
        <w:t>.</w:t>
      </w:r>
      <w:r w:rsidRPr="00CA7762">
        <w:rPr>
          <w:rFonts w:ascii="Arial" w:hAnsi="Arial" w:cs="Arial"/>
          <w:b/>
          <w:bCs/>
          <w:i/>
          <w:iCs/>
          <w:sz w:val="20"/>
          <w:szCs w:val="20"/>
          <w:lang w:val="es-ES_tradnl"/>
        </w:rPr>
        <w:t xml:space="preserve"> “GCBA s/ queja por recurso de inconstitucionalidad denegado en: Pellegrino, Luis y otros c/ GCBA s/ impugnación de actos administrativos</w:t>
      </w:r>
      <w:r>
        <w:rPr>
          <w:rFonts w:ascii="Arial" w:hAnsi="Arial" w:cs="Arial"/>
          <w:b/>
          <w:bCs/>
          <w:i/>
          <w:iCs/>
          <w:sz w:val="20"/>
          <w:szCs w:val="20"/>
          <w:lang w:val="es-ES_tradnl"/>
        </w:rPr>
        <w:t xml:space="preserve"> </w:t>
      </w:r>
      <w:r w:rsidRPr="00121CCD">
        <w:rPr>
          <w:rFonts w:ascii="Arial" w:hAnsi="Arial" w:cs="Arial"/>
          <w:b/>
          <w:bCs/>
          <w:i/>
          <w:iCs/>
          <w:sz w:val="20"/>
          <w:szCs w:val="20"/>
          <w:lang w:val="es-ES_tradnl"/>
        </w:rPr>
        <w:t>(1</w:t>
      </w:r>
      <w:r>
        <w:rPr>
          <w:rFonts w:ascii="Arial" w:hAnsi="Arial" w:cs="Arial"/>
          <w:b/>
          <w:bCs/>
          <w:i/>
          <w:iCs/>
          <w:sz w:val="20"/>
          <w:szCs w:val="20"/>
          <w:lang w:val="es-ES_tradnl"/>
        </w:rPr>
        <w:t>7</w:t>
      </w:r>
      <w:r w:rsidRPr="00121CCD">
        <w:rPr>
          <w:rFonts w:ascii="Arial" w:hAnsi="Arial" w:cs="Arial"/>
          <w:b/>
          <w:bCs/>
          <w:i/>
          <w:iCs/>
          <w:sz w:val="20"/>
          <w:szCs w:val="20"/>
          <w:lang w:val="es-ES_tradnl"/>
        </w:rPr>
        <w:t>/0</w:t>
      </w:r>
      <w:r>
        <w:rPr>
          <w:rFonts w:ascii="Arial" w:hAnsi="Arial" w:cs="Arial"/>
          <w:b/>
          <w:bCs/>
          <w:i/>
          <w:iCs/>
          <w:sz w:val="20"/>
          <w:szCs w:val="20"/>
          <w:lang w:val="es-ES_tradnl"/>
        </w:rPr>
        <w:t>8</w:t>
      </w:r>
      <w:r w:rsidRPr="00121CCD">
        <w:rPr>
          <w:rFonts w:ascii="Arial" w:hAnsi="Arial" w:cs="Arial"/>
          <w:b/>
          <w:bCs/>
          <w:i/>
          <w:iCs/>
          <w:sz w:val="20"/>
          <w:szCs w:val="20"/>
          <w:lang w:val="es-ES_tradnl"/>
        </w:rPr>
        <w:t>/2022)</w:t>
      </w:r>
      <w:r>
        <w:rPr>
          <w:rFonts w:ascii="Arial" w:hAnsi="Arial" w:cs="Arial"/>
          <w:b/>
          <w:bCs/>
          <w:i/>
          <w:iCs/>
          <w:sz w:val="20"/>
          <w:szCs w:val="20"/>
          <w:lang w:val="es-ES_tradnl"/>
        </w:rPr>
        <w:t>”.</w:t>
      </w:r>
    </w:p>
    <w:p w14:paraId="22BA4103" w14:textId="77777777" w:rsidR="00121CCD" w:rsidRPr="00382C52" w:rsidRDefault="00382C52" w:rsidP="00382C52">
      <w:pPr>
        <w:snapToGrid w:val="0"/>
        <w:spacing w:after="240" w:line="360" w:lineRule="auto"/>
        <w:jc w:val="both"/>
        <w:rPr>
          <w:rFonts w:ascii="Arial" w:hAnsi="Arial" w:cs="Arial"/>
          <w:b/>
          <w:bCs/>
          <w:sz w:val="20"/>
          <w:szCs w:val="20"/>
          <w:u w:val="single"/>
          <w:lang w:val="es-ES_tradnl"/>
        </w:rPr>
      </w:pPr>
      <w:r w:rsidRPr="00382C52">
        <w:rPr>
          <w:rFonts w:ascii="Arial" w:hAnsi="Arial" w:cs="Arial"/>
          <w:b/>
          <w:bCs/>
          <w:sz w:val="20"/>
          <w:szCs w:val="20"/>
          <w:u w:val="single"/>
          <w:lang w:val="es-ES_tradnl"/>
        </w:rPr>
        <w:t>Suprema Corte de Justicia de la Provincia de Buenos Aires.</w:t>
      </w:r>
    </w:p>
    <w:p w14:paraId="5E5CD1CD" w14:textId="77777777" w:rsidR="00A9088D" w:rsidRPr="00A9088D" w:rsidRDefault="00A9088D" w:rsidP="00C94FD8">
      <w:pPr>
        <w:pStyle w:val="Prrafodelista"/>
        <w:numPr>
          <w:ilvl w:val="0"/>
          <w:numId w:val="3"/>
        </w:numPr>
        <w:snapToGrid w:val="0"/>
        <w:spacing w:after="240" w:line="360" w:lineRule="auto"/>
        <w:ind w:left="714" w:hanging="357"/>
        <w:contextualSpacing w:val="0"/>
        <w:jc w:val="both"/>
        <w:rPr>
          <w:rFonts w:ascii="Arial" w:hAnsi="Arial" w:cs="Arial"/>
          <w:sz w:val="20"/>
          <w:szCs w:val="20"/>
          <w:lang w:val="es-ES_tradnl"/>
        </w:rPr>
      </w:pPr>
      <w:r w:rsidRPr="00A9088D">
        <w:rPr>
          <w:rFonts w:ascii="Arial" w:hAnsi="Arial" w:cs="Arial"/>
          <w:sz w:val="20"/>
          <w:szCs w:val="20"/>
          <w:lang w:val="es-ES_tradnl"/>
        </w:rPr>
        <w:t xml:space="preserve">Tasa por Inspección de Seguridad E Higiene. Municipalidad De La Matanza.  Concepto de Tasa. Posición (por primera vez) del Dr. Soria en relación con la especie tratada (voto en minoría). </w:t>
      </w:r>
      <w:r w:rsidRPr="00A9088D">
        <w:rPr>
          <w:rFonts w:ascii="Arial" w:hAnsi="Arial" w:cs="Arial"/>
          <w:b/>
          <w:bCs/>
          <w:i/>
          <w:iCs/>
          <w:sz w:val="20"/>
          <w:szCs w:val="20"/>
          <w:lang w:val="es-ES_tradnl"/>
        </w:rPr>
        <w:t>“Coca Cola FEMSA se Buenos Aires SA c/ Municipalidad De La Matanza S/Pretensión Anulatoria - Recurso Extraordinario de Inaplicabilidad De Ley (6/09/2022)”</w:t>
      </w:r>
      <w:r w:rsidRPr="00A9088D">
        <w:rPr>
          <w:rFonts w:ascii="Arial" w:hAnsi="Arial" w:cs="Arial"/>
          <w:sz w:val="20"/>
          <w:szCs w:val="20"/>
          <w:lang w:val="es-ES_tradnl"/>
        </w:rPr>
        <w:t>.</w:t>
      </w:r>
    </w:p>
    <w:p w14:paraId="29E98AC7" w14:textId="77777777" w:rsidR="00AF2336" w:rsidRDefault="005D153D" w:rsidP="00C94FD8">
      <w:pPr>
        <w:pStyle w:val="Prrafodelista"/>
        <w:numPr>
          <w:ilvl w:val="0"/>
          <w:numId w:val="3"/>
        </w:numPr>
        <w:snapToGrid w:val="0"/>
        <w:spacing w:after="240" w:line="360" w:lineRule="auto"/>
        <w:ind w:left="714" w:hanging="357"/>
        <w:contextualSpacing w:val="0"/>
        <w:jc w:val="both"/>
        <w:rPr>
          <w:rFonts w:ascii="Arial" w:hAnsi="Arial" w:cs="Arial"/>
          <w:sz w:val="20"/>
          <w:szCs w:val="20"/>
          <w:lang w:val="es-ES_tradnl"/>
        </w:rPr>
      </w:pPr>
      <w:r w:rsidRPr="005D153D">
        <w:rPr>
          <w:rFonts w:ascii="Arial" w:hAnsi="Arial" w:cs="Arial"/>
          <w:sz w:val="20"/>
          <w:szCs w:val="20"/>
          <w:lang w:val="es-ES_tradnl"/>
        </w:rPr>
        <w:lastRenderedPageBreak/>
        <w:t xml:space="preserve">Impuesto sobre los Ingresos Brutos. Gravabilidad de las actividades onerosas (no lucrativas). </w:t>
      </w:r>
      <w:r w:rsidRPr="005D153D">
        <w:rPr>
          <w:rFonts w:ascii="Arial" w:hAnsi="Arial" w:cs="Arial"/>
          <w:b/>
          <w:bCs/>
          <w:i/>
          <w:iCs/>
          <w:sz w:val="20"/>
          <w:szCs w:val="20"/>
          <w:lang w:val="es-ES_tradnl"/>
        </w:rPr>
        <w:t>“Asociación Vecinal Puertos del Lago S.A. c/Tribunal Fiscal de Apelación s/Pretensión Anulatoria - Recurso Extraordinario de Inaplicabilidad de Ley (5/09/2022)”</w:t>
      </w:r>
      <w:r w:rsidRPr="005D153D">
        <w:rPr>
          <w:rFonts w:ascii="Arial" w:hAnsi="Arial" w:cs="Arial"/>
          <w:sz w:val="20"/>
          <w:szCs w:val="20"/>
          <w:lang w:val="es-ES_tradnl"/>
        </w:rPr>
        <w:t>.</w:t>
      </w:r>
    </w:p>
    <w:p w14:paraId="7F7DBDF2" w14:textId="77777777" w:rsidR="00994580" w:rsidRPr="0084047F" w:rsidRDefault="00994580" w:rsidP="00994580">
      <w:pPr>
        <w:pStyle w:val="Prrafodelista"/>
        <w:snapToGrid w:val="0"/>
        <w:spacing w:after="240" w:line="360" w:lineRule="auto"/>
        <w:ind w:left="0"/>
        <w:contextualSpacing w:val="0"/>
        <w:jc w:val="both"/>
        <w:rPr>
          <w:rFonts w:ascii="Arial" w:hAnsi="Arial" w:cs="Arial"/>
          <w:b/>
          <w:bCs/>
          <w:sz w:val="20"/>
          <w:szCs w:val="20"/>
          <w:u w:val="single"/>
          <w:lang w:val="es-ES_tradnl"/>
        </w:rPr>
      </w:pPr>
      <w:r w:rsidRPr="0084047F">
        <w:rPr>
          <w:rFonts w:ascii="Arial" w:hAnsi="Arial" w:cs="Arial"/>
          <w:b/>
          <w:bCs/>
          <w:sz w:val="20"/>
          <w:szCs w:val="20"/>
          <w:u w:val="single"/>
          <w:lang w:val="es-ES_tradnl"/>
        </w:rPr>
        <w:t>Juzgado Federal de Salta N° 2</w:t>
      </w:r>
    </w:p>
    <w:p w14:paraId="15ECDBF6" w14:textId="77777777" w:rsidR="00994580" w:rsidRPr="0084047F" w:rsidRDefault="00994580" w:rsidP="00C94FD8">
      <w:pPr>
        <w:pStyle w:val="Prrafodelista"/>
        <w:numPr>
          <w:ilvl w:val="0"/>
          <w:numId w:val="3"/>
        </w:numPr>
        <w:snapToGrid w:val="0"/>
        <w:spacing w:after="240" w:line="360" w:lineRule="auto"/>
        <w:ind w:left="714" w:hanging="357"/>
        <w:contextualSpacing w:val="0"/>
        <w:jc w:val="both"/>
        <w:rPr>
          <w:rFonts w:ascii="Arial" w:hAnsi="Arial" w:cs="Arial"/>
          <w:sz w:val="20"/>
          <w:szCs w:val="20"/>
          <w:lang w:val="es-ES_tradnl"/>
        </w:rPr>
      </w:pPr>
      <w:r w:rsidRPr="0084047F">
        <w:rPr>
          <w:rFonts w:ascii="Arial" w:hAnsi="Arial" w:cs="Arial"/>
          <w:sz w:val="20"/>
          <w:szCs w:val="20"/>
        </w:rPr>
        <w:t>Contribución que incide sobre los contratos de obras públicas. Cláusula del progreso. Ausencia de prueba de prestación de servicios. Se hace lugar parcialmente a la demanda en relación “</w:t>
      </w:r>
      <w:r w:rsidRPr="0084047F">
        <w:rPr>
          <w:rFonts w:ascii="Arial" w:hAnsi="Arial" w:cs="Arial"/>
          <w:i/>
          <w:sz w:val="20"/>
          <w:szCs w:val="20"/>
        </w:rPr>
        <w:t xml:space="preserve">a la actividad que desarrolla la firma en el </w:t>
      </w:r>
      <w:proofErr w:type="spellStart"/>
      <w:r w:rsidRPr="0084047F">
        <w:rPr>
          <w:rFonts w:ascii="Arial" w:hAnsi="Arial" w:cs="Arial"/>
          <w:i/>
          <w:sz w:val="20"/>
          <w:szCs w:val="20"/>
        </w:rPr>
        <w:t>éjido</w:t>
      </w:r>
      <w:proofErr w:type="spellEnd"/>
      <w:r w:rsidRPr="0084047F">
        <w:rPr>
          <w:rFonts w:ascii="Arial" w:hAnsi="Arial" w:cs="Arial"/>
          <w:i/>
          <w:sz w:val="20"/>
          <w:szCs w:val="20"/>
        </w:rPr>
        <w:t xml:space="preserve"> municipal, que consiste en la construcción de una estación transformadora, cuya ejecución le fuera encomendada por el Estado Nacional</w:t>
      </w:r>
      <w:r w:rsidRPr="0084047F">
        <w:rPr>
          <w:rFonts w:ascii="Arial" w:hAnsi="Arial" w:cs="Arial"/>
          <w:sz w:val="20"/>
          <w:szCs w:val="20"/>
        </w:rPr>
        <w:t>”. “</w:t>
      </w:r>
      <w:r w:rsidRPr="0084047F">
        <w:rPr>
          <w:rFonts w:ascii="Arial" w:hAnsi="Arial" w:cs="Arial"/>
          <w:b/>
          <w:bCs/>
          <w:i/>
          <w:iCs/>
          <w:sz w:val="20"/>
          <w:szCs w:val="20"/>
          <w:lang w:val="es-ES_tradnl"/>
        </w:rPr>
        <w:t>ROVELLA CARRANZA SA c/ MUNICIPALIDAD DE LA MERCED s/ACCION MERAMENTE DECLARATIVA DE DERECHO (26/08/2022)”.</w:t>
      </w:r>
    </w:p>
    <w:p w14:paraId="3ABF2756" w14:textId="77777777" w:rsidR="005A41FD" w:rsidRPr="0084047F" w:rsidRDefault="005A41FD" w:rsidP="005A41FD">
      <w:pPr>
        <w:pStyle w:val="Prrafodelista"/>
        <w:snapToGrid w:val="0"/>
        <w:spacing w:after="240" w:line="360" w:lineRule="auto"/>
        <w:ind w:left="0"/>
        <w:contextualSpacing w:val="0"/>
        <w:jc w:val="both"/>
        <w:rPr>
          <w:rFonts w:ascii="Arial" w:hAnsi="Arial" w:cs="Arial"/>
          <w:b/>
          <w:bCs/>
          <w:sz w:val="20"/>
          <w:szCs w:val="20"/>
          <w:u w:val="single"/>
          <w:lang w:val="es-ES_tradnl"/>
        </w:rPr>
      </w:pPr>
      <w:r w:rsidRPr="0084047F">
        <w:rPr>
          <w:rFonts w:ascii="Arial" w:hAnsi="Arial" w:cs="Arial"/>
          <w:b/>
          <w:bCs/>
          <w:sz w:val="20"/>
          <w:szCs w:val="20"/>
          <w:u w:val="single"/>
          <w:lang w:val="es-ES_tradnl"/>
        </w:rPr>
        <w:t>Cámara Apelaciones Civil y Comercial 4ª de Córdoba</w:t>
      </w:r>
    </w:p>
    <w:p w14:paraId="5254E635" w14:textId="22B1CFCE" w:rsidR="00994580" w:rsidRPr="0084047F" w:rsidRDefault="005A41FD" w:rsidP="00C94FD8">
      <w:pPr>
        <w:pStyle w:val="Prrafodelista"/>
        <w:numPr>
          <w:ilvl w:val="0"/>
          <w:numId w:val="3"/>
        </w:numPr>
        <w:snapToGrid w:val="0"/>
        <w:spacing w:after="240" w:line="360" w:lineRule="auto"/>
        <w:ind w:left="714" w:hanging="357"/>
        <w:contextualSpacing w:val="0"/>
        <w:jc w:val="both"/>
        <w:rPr>
          <w:rFonts w:ascii="Arial" w:hAnsi="Arial" w:cs="Arial"/>
          <w:b/>
          <w:bCs/>
          <w:i/>
          <w:iCs/>
          <w:sz w:val="20"/>
          <w:szCs w:val="20"/>
          <w:lang w:val="es-ES_tradnl"/>
        </w:rPr>
      </w:pPr>
      <w:r w:rsidRPr="0084047F">
        <w:rPr>
          <w:rFonts w:ascii="Arial" w:hAnsi="Arial" w:cs="Arial"/>
          <w:sz w:val="20"/>
          <w:szCs w:val="20"/>
          <w:lang w:val="es-ES_tradnl"/>
        </w:rPr>
        <w:t>Ejecución Fiscal. Devolución de sumas de dinero</w:t>
      </w:r>
      <w:r w:rsidR="00C94FD8" w:rsidRPr="0084047F">
        <w:rPr>
          <w:rFonts w:ascii="Arial" w:hAnsi="Arial" w:cs="Arial"/>
          <w:sz w:val="20"/>
          <w:szCs w:val="20"/>
          <w:lang w:val="es-ES_tradnl"/>
        </w:rPr>
        <w:t xml:space="preserve"> a la ejecutante vencida</w:t>
      </w:r>
      <w:r w:rsidRPr="0084047F">
        <w:rPr>
          <w:rFonts w:ascii="Arial" w:hAnsi="Arial" w:cs="Arial"/>
          <w:sz w:val="20"/>
          <w:szCs w:val="20"/>
          <w:lang w:val="es-ES_tradnl"/>
        </w:rPr>
        <w:t>.</w:t>
      </w:r>
      <w:r w:rsidR="00C94FD8" w:rsidRPr="0084047F">
        <w:rPr>
          <w:rFonts w:ascii="Arial" w:hAnsi="Arial" w:cs="Arial"/>
          <w:sz w:val="20"/>
          <w:szCs w:val="20"/>
          <w:lang w:val="es-ES_tradnl"/>
        </w:rPr>
        <w:t xml:space="preserve"> “</w:t>
      </w:r>
      <w:r w:rsidR="00C94FD8" w:rsidRPr="0084047F">
        <w:rPr>
          <w:rFonts w:ascii="Arial" w:hAnsi="Arial" w:cs="Arial"/>
          <w:i/>
          <w:sz w:val="20"/>
          <w:szCs w:val="20"/>
          <w:lang w:val="es-ES_tradnl"/>
        </w:rPr>
        <w:t>C</w:t>
      </w:r>
      <w:proofErr w:type="spellStart"/>
      <w:r w:rsidR="00C94FD8" w:rsidRPr="0084047F">
        <w:rPr>
          <w:rFonts w:ascii="Arial" w:hAnsi="Arial" w:cs="Arial"/>
          <w:i/>
          <w:sz w:val="20"/>
          <w:szCs w:val="20"/>
        </w:rPr>
        <w:t>orresponde</w:t>
      </w:r>
      <w:proofErr w:type="spellEnd"/>
      <w:r w:rsidR="00C94FD8" w:rsidRPr="0084047F">
        <w:rPr>
          <w:rFonts w:ascii="Arial" w:hAnsi="Arial" w:cs="Arial"/>
          <w:i/>
          <w:sz w:val="20"/>
          <w:szCs w:val="20"/>
        </w:rPr>
        <w:t xml:space="preserve"> en este caso admitir la apelación y revocar la decisión adoptada por la Sra. Juez de primera instancia en cuanto ordena a AMX a ocurrir a la vía del juicio ordinario de repetición para reclamar la restitución de lo pagado con motivo de la ejecución provisional de la sentencia luego revocada</w:t>
      </w:r>
      <w:r w:rsidR="0084047F">
        <w:rPr>
          <w:rFonts w:ascii="Arial" w:hAnsi="Arial" w:cs="Arial"/>
          <w:sz w:val="20"/>
          <w:szCs w:val="20"/>
        </w:rPr>
        <w:t>”</w:t>
      </w:r>
      <w:r w:rsidR="00C94FD8" w:rsidRPr="0084047F">
        <w:rPr>
          <w:rFonts w:ascii="Arial" w:hAnsi="Arial" w:cs="Arial"/>
          <w:sz w:val="20"/>
          <w:szCs w:val="20"/>
        </w:rPr>
        <w:t xml:space="preserve">. </w:t>
      </w:r>
      <w:r w:rsidR="0084047F" w:rsidRPr="0084047F">
        <w:rPr>
          <w:rFonts w:ascii="Arial" w:hAnsi="Arial" w:cs="Arial"/>
          <w:b/>
          <w:bCs/>
          <w:i/>
          <w:iCs/>
          <w:sz w:val="20"/>
          <w:szCs w:val="20"/>
        </w:rPr>
        <w:t>“</w:t>
      </w:r>
      <w:r w:rsidRPr="0084047F">
        <w:rPr>
          <w:rFonts w:ascii="Arial" w:hAnsi="Arial" w:cs="Arial"/>
          <w:b/>
          <w:bCs/>
          <w:i/>
          <w:iCs/>
          <w:sz w:val="20"/>
          <w:szCs w:val="20"/>
          <w:lang w:val="es-ES_tradnl"/>
        </w:rPr>
        <w:t>Municipalidad de Calchín c/ AMX ARGENTINA S.A. – Ejecutivo Fiscal – (29/08/2022)</w:t>
      </w:r>
      <w:r w:rsidR="0084047F">
        <w:rPr>
          <w:rFonts w:ascii="Arial" w:hAnsi="Arial" w:cs="Arial"/>
          <w:b/>
          <w:bCs/>
          <w:i/>
          <w:iCs/>
          <w:sz w:val="20"/>
          <w:szCs w:val="20"/>
          <w:lang w:val="es-ES_tradnl"/>
        </w:rPr>
        <w:t>”</w:t>
      </w:r>
      <w:r w:rsidR="00BC23EB" w:rsidRPr="0084047F">
        <w:rPr>
          <w:rFonts w:ascii="Arial" w:hAnsi="Arial" w:cs="Arial"/>
          <w:b/>
          <w:bCs/>
          <w:i/>
          <w:iCs/>
          <w:sz w:val="20"/>
          <w:szCs w:val="20"/>
          <w:lang w:val="es-ES_tradnl"/>
        </w:rPr>
        <w:t>.</w:t>
      </w:r>
    </w:p>
    <w:p w14:paraId="1E106289" w14:textId="77777777" w:rsidR="00B648CE" w:rsidRPr="0084047F" w:rsidRDefault="00B648CE" w:rsidP="00B648CE">
      <w:pPr>
        <w:snapToGrid w:val="0"/>
        <w:spacing w:after="240" w:line="360" w:lineRule="auto"/>
        <w:jc w:val="both"/>
        <w:rPr>
          <w:rFonts w:ascii="Arial" w:hAnsi="Arial" w:cs="Arial"/>
          <w:b/>
          <w:bCs/>
          <w:i/>
          <w:iCs/>
          <w:sz w:val="20"/>
          <w:szCs w:val="20"/>
          <w:lang w:val="es-ES_tradnl"/>
        </w:rPr>
      </w:pPr>
      <w:r w:rsidRPr="0084047F">
        <w:rPr>
          <w:rFonts w:ascii="Arial" w:hAnsi="Arial" w:cs="Arial"/>
          <w:b/>
          <w:bCs/>
          <w:sz w:val="20"/>
          <w:szCs w:val="20"/>
          <w:u w:val="single"/>
          <w:lang w:val="es-ES_tradnl"/>
        </w:rPr>
        <w:t>Cámara Apelaciones Civil y Comercial 7ª de Córdoba</w:t>
      </w:r>
    </w:p>
    <w:p w14:paraId="75A0EF18" w14:textId="7EFC12C5" w:rsidR="00B648CE" w:rsidRPr="0084047F" w:rsidRDefault="00B648CE" w:rsidP="00B648CE">
      <w:pPr>
        <w:pStyle w:val="Prrafodelista"/>
        <w:numPr>
          <w:ilvl w:val="0"/>
          <w:numId w:val="3"/>
        </w:numPr>
        <w:snapToGrid w:val="0"/>
        <w:spacing w:after="240" w:line="360" w:lineRule="auto"/>
        <w:contextualSpacing w:val="0"/>
        <w:jc w:val="both"/>
        <w:rPr>
          <w:rFonts w:ascii="Arial" w:hAnsi="Arial" w:cs="Arial"/>
          <w:b/>
          <w:bCs/>
          <w:i/>
          <w:iCs/>
          <w:sz w:val="20"/>
          <w:szCs w:val="20"/>
          <w:lang w:val="es-ES_tradnl"/>
        </w:rPr>
      </w:pPr>
      <w:r w:rsidRPr="0084047F">
        <w:rPr>
          <w:rFonts w:ascii="Arial" w:hAnsi="Arial" w:cs="Arial"/>
          <w:bCs/>
          <w:i/>
          <w:iCs/>
          <w:sz w:val="20"/>
          <w:szCs w:val="20"/>
          <w:lang w:val="es-ES_tradnl"/>
        </w:rPr>
        <w:t xml:space="preserve">Cobro Judicial de tributos. </w:t>
      </w:r>
      <w:r w:rsidRPr="0084047F">
        <w:rPr>
          <w:rFonts w:ascii="Arial" w:hAnsi="Arial" w:cs="Arial"/>
          <w:bCs/>
          <w:iCs/>
          <w:sz w:val="20"/>
          <w:szCs w:val="20"/>
          <w:lang w:val="es-ES_tradnl"/>
        </w:rPr>
        <w:t>Necesidad de agotar la vía administrativa. Se hace lugar a la excepción de inhabilidad de título. “</w:t>
      </w:r>
      <w:r w:rsidRPr="0084047F">
        <w:rPr>
          <w:rFonts w:ascii="Arial" w:hAnsi="Arial" w:cs="Arial"/>
          <w:b/>
          <w:bCs/>
          <w:i/>
          <w:iCs/>
          <w:sz w:val="20"/>
          <w:szCs w:val="20"/>
          <w:lang w:val="es-ES_tradnl"/>
        </w:rPr>
        <w:t xml:space="preserve">Dirección General De Rentas C/ Tarjeta Naranja S.A. Procedimiento De </w:t>
      </w:r>
      <w:proofErr w:type="spellStart"/>
      <w:r w:rsidRPr="0084047F">
        <w:rPr>
          <w:rFonts w:ascii="Arial" w:hAnsi="Arial" w:cs="Arial"/>
          <w:b/>
          <w:bCs/>
          <w:i/>
          <w:iCs/>
          <w:sz w:val="20"/>
          <w:szCs w:val="20"/>
          <w:lang w:val="es-ES_tradnl"/>
        </w:rPr>
        <w:t>Ejecucion</w:t>
      </w:r>
      <w:proofErr w:type="spellEnd"/>
      <w:r w:rsidRPr="0084047F">
        <w:rPr>
          <w:rFonts w:ascii="Arial" w:hAnsi="Arial" w:cs="Arial"/>
          <w:b/>
          <w:bCs/>
          <w:i/>
          <w:iCs/>
          <w:sz w:val="20"/>
          <w:szCs w:val="20"/>
          <w:lang w:val="es-ES_tradnl"/>
        </w:rPr>
        <w:t xml:space="preserve"> Fiscal Administrativa - </w:t>
      </w:r>
      <w:proofErr w:type="spellStart"/>
      <w:r w:rsidRPr="0084047F">
        <w:rPr>
          <w:rFonts w:ascii="Arial" w:hAnsi="Arial" w:cs="Arial"/>
          <w:b/>
          <w:bCs/>
          <w:i/>
          <w:iCs/>
          <w:sz w:val="20"/>
          <w:szCs w:val="20"/>
          <w:lang w:val="es-ES_tradnl"/>
        </w:rPr>
        <w:t>Ee</w:t>
      </w:r>
      <w:proofErr w:type="spellEnd"/>
      <w:r w:rsidRPr="0084047F">
        <w:rPr>
          <w:rFonts w:ascii="Arial" w:hAnsi="Arial" w:cs="Arial"/>
          <w:b/>
          <w:bCs/>
          <w:i/>
          <w:iCs/>
          <w:sz w:val="20"/>
          <w:szCs w:val="20"/>
          <w:lang w:val="es-ES_tradnl"/>
        </w:rPr>
        <w:t xml:space="preserve"> - Cuerpo </w:t>
      </w:r>
      <w:r w:rsidR="0084047F">
        <w:rPr>
          <w:rFonts w:ascii="Arial" w:hAnsi="Arial" w:cs="Arial"/>
          <w:b/>
          <w:bCs/>
          <w:i/>
          <w:iCs/>
          <w:sz w:val="20"/>
          <w:szCs w:val="20"/>
          <w:lang w:val="es-ES_tradnl"/>
        </w:rPr>
        <w:t>d</w:t>
      </w:r>
      <w:r w:rsidRPr="0084047F">
        <w:rPr>
          <w:rFonts w:ascii="Arial" w:hAnsi="Arial" w:cs="Arial"/>
          <w:b/>
          <w:bCs/>
          <w:i/>
          <w:iCs/>
          <w:sz w:val="20"/>
          <w:szCs w:val="20"/>
          <w:lang w:val="es-ES_tradnl"/>
        </w:rPr>
        <w:t xml:space="preserve">e </w:t>
      </w:r>
      <w:r w:rsidR="0084047F" w:rsidRPr="0084047F">
        <w:rPr>
          <w:rFonts w:ascii="Arial" w:hAnsi="Arial" w:cs="Arial"/>
          <w:b/>
          <w:bCs/>
          <w:i/>
          <w:iCs/>
          <w:sz w:val="20"/>
          <w:szCs w:val="20"/>
          <w:lang w:val="es-ES_tradnl"/>
        </w:rPr>
        <w:t>Apelación</w:t>
      </w:r>
      <w:r w:rsidRPr="0084047F">
        <w:rPr>
          <w:rFonts w:ascii="Arial" w:hAnsi="Arial" w:cs="Arial"/>
          <w:b/>
          <w:bCs/>
          <w:i/>
          <w:iCs/>
          <w:sz w:val="20"/>
          <w:szCs w:val="20"/>
          <w:lang w:val="es-ES_tradnl"/>
        </w:rPr>
        <w:t xml:space="preserve"> (12/08/2022)</w:t>
      </w:r>
      <w:r w:rsidR="0084047F">
        <w:rPr>
          <w:rFonts w:ascii="Arial" w:hAnsi="Arial" w:cs="Arial"/>
          <w:b/>
          <w:bCs/>
          <w:i/>
          <w:iCs/>
          <w:sz w:val="20"/>
          <w:szCs w:val="20"/>
          <w:lang w:val="es-ES_tradnl"/>
        </w:rPr>
        <w:t>”</w:t>
      </w:r>
      <w:r w:rsidRPr="0084047F">
        <w:rPr>
          <w:rFonts w:ascii="Arial" w:hAnsi="Arial" w:cs="Arial"/>
          <w:b/>
          <w:bCs/>
          <w:i/>
          <w:iCs/>
          <w:sz w:val="20"/>
          <w:szCs w:val="20"/>
          <w:lang w:val="es-ES_tradnl"/>
        </w:rPr>
        <w:t>.</w:t>
      </w:r>
    </w:p>
    <w:p w14:paraId="3A0156F1" w14:textId="77777777" w:rsidR="00BC23EB" w:rsidRPr="0084047F" w:rsidRDefault="00D67BEA" w:rsidP="00BC23EB">
      <w:pPr>
        <w:pStyle w:val="Prrafodelista"/>
        <w:snapToGrid w:val="0"/>
        <w:spacing w:after="240" w:line="360" w:lineRule="auto"/>
        <w:ind w:left="0"/>
        <w:contextualSpacing w:val="0"/>
        <w:jc w:val="both"/>
        <w:rPr>
          <w:rFonts w:ascii="Arial" w:hAnsi="Arial" w:cs="Arial"/>
          <w:b/>
          <w:bCs/>
          <w:sz w:val="20"/>
          <w:szCs w:val="20"/>
          <w:u w:val="single"/>
          <w:lang w:val="es-ES_tradnl"/>
        </w:rPr>
      </w:pPr>
      <w:r w:rsidRPr="0084047F">
        <w:rPr>
          <w:rFonts w:ascii="Arial" w:hAnsi="Arial" w:cs="Arial"/>
          <w:b/>
          <w:bCs/>
          <w:sz w:val="20"/>
          <w:szCs w:val="20"/>
          <w:u w:val="single"/>
          <w:lang w:val="es-ES_tradnl"/>
        </w:rPr>
        <w:t>Cámara de Apelación en lo Contencioso Administrativo - Mar Del Plata</w:t>
      </w:r>
    </w:p>
    <w:p w14:paraId="607132B1" w14:textId="043D9C5A" w:rsidR="00BC23EB" w:rsidRPr="0084047F" w:rsidRDefault="00BC23EB" w:rsidP="00BC23EB">
      <w:pPr>
        <w:pStyle w:val="Prrafodelista"/>
        <w:numPr>
          <w:ilvl w:val="0"/>
          <w:numId w:val="3"/>
        </w:numPr>
        <w:snapToGrid w:val="0"/>
        <w:spacing w:after="240" w:line="360" w:lineRule="auto"/>
        <w:contextualSpacing w:val="0"/>
        <w:jc w:val="both"/>
        <w:rPr>
          <w:rFonts w:ascii="Arial" w:hAnsi="Arial" w:cs="Arial"/>
          <w:b/>
          <w:bCs/>
          <w:i/>
          <w:iCs/>
          <w:sz w:val="20"/>
          <w:szCs w:val="20"/>
          <w:lang w:val="es-ES_tradnl"/>
        </w:rPr>
      </w:pPr>
      <w:r w:rsidRPr="0084047F">
        <w:rPr>
          <w:rFonts w:ascii="Arial" w:hAnsi="Arial" w:cs="Arial"/>
          <w:sz w:val="20"/>
          <w:szCs w:val="20"/>
          <w:lang w:val="es-ES_tradnl"/>
        </w:rPr>
        <w:t>Notificación al domicilio electrónico y notificación al domicilio real. Plazo para recurrir. “</w:t>
      </w:r>
      <w:r w:rsidRPr="0084047F">
        <w:rPr>
          <w:rFonts w:ascii="Arial" w:hAnsi="Arial" w:cs="Arial"/>
          <w:i/>
          <w:sz w:val="20"/>
          <w:szCs w:val="20"/>
          <w:lang w:val="es-ES_tradnl"/>
        </w:rPr>
        <w:t>La invariable solución contemplada en la norma cuestionada, en orden a la preminencia que, en este caso, se asignó a la notificación electrónica (a los fines del cómputo del plazo para recurrir la decisión anoticiada) no obstante la existencia de otras sucesivas comunicaciones igualmente válidas, con las graves consecuencias que de ello se derivan a los fines impugnatorios para el contribuyente que se considere afectado en sus derechos, se revela manifiestamente más costosa que otras alternativas por las que podría haberse optado sin desmedro de aquellos objetivos cuya consecución pretendió la norma</w:t>
      </w:r>
      <w:r w:rsidRPr="0084047F">
        <w:rPr>
          <w:rFonts w:ascii="Arial" w:hAnsi="Arial" w:cs="Arial"/>
          <w:sz w:val="20"/>
          <w:szCs w:val="20"/>
          <w:lang w:val="es-ES_tradnl"/>
        </w:rPr>
        <w:t>”.</w:t>
      </w:r>
      <w:r w:rsidR="00D67BEA" w:rsidRPr="0084047F">
        <w:rPr>
          <w:rFonts w:ascii="Arial" w:hAnsi="Arial" w:cs="Arial"/>
          <w:sz w:val="20"/>
          <w:szCs w:val="20"/>
          <w:lang w:val="es-ES_tradnl"/>
        </w:rPr>
        <w:t xml:space="preserve"> </w:t>
      </w:r>
      <w:r w:rsidR="00D67BEA" w:rsidRPr="00967054">
        <w:rPr>
          <w:rFonts w:ascii="Arial" w:hAnsi="Arial" w:cs="Arial"/>
          <w:b/>
          <w:bCs/>
          <w:i/>
          <w:iCs/>
          <w:sz w:val="20"/>
          <w:szCs w:val="20"/>
          <w:lang w:val="es-ES_tradnl"/>
        </w:rPr>
        <w:t>“</w:t>
      </w:r>
      <w:r w:rsidR="00D67BEA" w:rsidRPr="0084047F">
        <w:rPr>
          <w:rFonts w:ascii="Arial" w:hAnsi="Arial" w:cs="Arial"/>
          <w:b/>
          <w:bCs/>
          <w:i/>
          <w:iCs/>
          <w:sz w:val="20"/>
          <w:szCs w:val="20"/>
          <w:lang w:val="es-ES_tradnl"/>
        </w:rPr>
        <w:t xml:space="preserve">Frigorifico de la Costa SA C/ ARBA s/ </w:t>
      </w:r>
      <w:r w:rsidR="0084383C" w:rsidRPr="0084047F">
        <w:rPr>
          <w:rFonts w:ascii="Arial" w:hAnsi="Arial" w:cs="Arial"/>
          <w:b/>
          <w:bCs/>
          <w:i/>
          <w:iCs/>
          <w:sz w:val="20"/>
          <w:szCs w:val="20"/>
          <w:lang w:val="es-ES_tradnl"/>
        </w:rPr>
        <w:t>pretensión</w:t>
      </w:r>
      <w:r w:rsidR="00D67BEA" w:rsidRPr="0084047F">
        <w:rPr>
          <w:rFonts w:ascii="Arial" w:hAnsi="Arial" w:cs="Arial"/>
          <w:b/>
          <w:bCs/>
          <w:i/>
          <w:iCs/>
          <w:sz w:val="20"/>
          <w:szCs w:val="20"/>
          <w:lang w:val="es-ES_tradnl"/>
        </w:rPr>
        <w:t xml:space="preserve"> anulatoria - otros juicios (16/09/2022)</w:t>
      </w:r>
      <w:r w:rsidR="00967054">
        <w:rPr>
          <w:rFonts w:ascii="Arial" w:hAnsi="Arial" w:cs="Arial"/>
          <w:b/>
          <w:bCs/>
          <w:i/>
          <w:iCs/>
          <w:sz w:val="20"/>
          <w:szCs w:val="20"/>
          <w:lang w:val="es-ES_tradnl"/>
        </w:rPr>
        <w:t>”</w:t>
      </w:r>
      <w:r w:rsidR="00D67BEA" w:rsidRPr="0084047F">
        <w:rPr>
          <w:rFonts w:ascii="Arial" w:hAnsi="Arial" w:cs="Arial"/>
          <w:b/>
          <w:bCs/>
          <w:i/>
          <w:iCs/>
          <w:sz w:val="20"/>
          <w:szCs w:val="20"/>
          <w:lang w:val="es-ES_tradnl"/>
        </w:rPr>
        <w:t>.</w:t>
      </w:r>
    </w:p>
    <w:p w14:paraId="71B293A7" w14:textId="77777777" w:rsidR="00D67BEA" w:rsidRPr="0084047F" w:rsidRDefault="00D67BEA" w:rsidP="00D67BEA">
      <w:pPr>
        <w:snapToGrid w:val="0"/>
        <w:spacing w:after="240" w:line="360" w:lineRule="auto"/>
        <w:jc w:val="both"/>
        <w:rPr>
          <w:rFonts w:ascii="Arial" w:hAnsi="Arial" w:cs="Arial"/>
          <w:b/>
          <w:bCs/>
          <w:sz w:val="20"/>
          <w:szCs w:val="20"/>
          <w:u w:val="single"/>
          <w:lang w:val="es-ES_tradnl"/>
        </w:rPr>
      </w:pPr>
      <w:r w:rsidRPr="0084047F">
        <w:rPr>
          <w:rFonts w:ascii="Arial" w:hAnsi="Arial" w:cs="Arial"/>
          <w:b/>
          <w:bCs/>
          <w:sz w:val="20"/>
          <w:szCs w:val="20"/>
          <w:u w:val="single"/>
          <w:lang w:val="es-ES_tradnl"/>
        </w:rPr>
        <w:lastRenderedPageBreak/>
        <w:t>Juzgado en los Contencioso Administrativo de Mercedes</w:t>
      </w:r>
    </w:p>
    <w:p w14:paraId="6AD76853" w14:textId="77777777" w:rsidR="00BC23EB" w:rsidRPr="0084047F" w:rsidRDefault="00D67BEA" w:rsidP="00D67BEA">
      <w:pPr>
        <w:pStyle w:val="Prrafodelista"/>
        <w:numPr>
          <w:ilvl w:val="0"/>
          <w:numId w:val="3"/>
        </w:numPr>
        <w:snapToGrid w:val="0"/>
        <w:spacing w:after="240" w:line="360" w:lineRule="auto"/>
        <w:contextualSpacing w:val="0"/>
        <w:jc w:val="both"/>
        <w:rPr>
          <w:rFonts w:ascii="Arial" w:hAnsi="Arial" w:cs="Arial"/>
          <w:b/>
          <w:bCs/>
          <w:sz w:val="20"/>
          <w:szCs w:val="20"/>
          <w:u w:val="single"/>
          <w:lang w:val="es-ES_tradnl"/>
        </w:rPr>
      </w:pPr>
      <w:r w:rsidRPr="0084047F">
        <w:rPr>
          <w:rFonts w:ascii="Arial" w:hAnsi="Arial" w:cs="Arial"/>
          <w:bCs/>
          <w:iCs/>
          <w:sz w:val="20"/>
          <w:szCs w:val="20"/>
          <w:lang w:val="es-ES_tradnl"/>
        </w:rPr>
        <w:t xml:space="preserve">Derechos de Publicidad y Propaganda. Sentencia de Cámara que ordena correr nueva vista del procedimiento determinativo. Omisión de la Municipalidad de cumplir con la </w:t>
      </w:r>
      <w:r w:rsidR="00B648CE" w:rsidRPr="0084047F">
        <w:rPr>
          <w:rFonts w:ascii="Arial" w:hAnsi="Arial" w:cs="Arial"/>
          <w:bCs/>
          <w:iCs/>
          <w:sz w:val="20"/>
          <w:szCs w:val="20"/>
          <w:lang w:val="es-ES_tradnl"/>
        </w:rPr>
        <w:t>sentencia. Hace lugar a la pretensión de devolución de las sumas determinadas.</w:t>
      </w:r>
      <w:r w:rsidRPr="0084047F">
        <w:rPr>
          <w:rFonts w:ascii="Arial" w:hAnsi="Arial" w:cs="Arial"/>
          <w:bCs/>
          <w:iCs/>
          <w:sz w:val="20"/>
          <w:szCs w:val="20"/>
          <w:lang w:val="es-ES_tradnl"/>
        </w:rPr>
        <w:t xml:space="preserve"> </w:t>
      </w:r>
      <w:r w:rsidRPr="0084047F">
        <w:rPr>
          <w:rFonts w:ascii="Arial" w:hAnsi="Arial" w:cs="Arial"/>
          <w:b/>
          <w:bCs/>
          <w:i/>
          <w:iCs/>
          <w:sz w:val="20"/>
          <w:szCs w:val="20"/>
          <w:lang w:val="es-ES_tradnl"/>
        </w:rPr>
        <w:t>“Bimbo de Argentina SA c/ Municipalidad De Moreno S/ Pretensión Anulatoria-Otros Juicios. (29/08/2022)”</w:t>
      </w:r>
      <w:r w:rsidR="0084383C" w:rsidRPr="0084047F">
        <w:rPr>
          <w:rFonts w:ascii="Arial" w:hAnsi="Arial" w:cs="Arial"/>
          <w:b/>
          <w:bCs/>
          <w:i/>
          <w:iCs/>
          <w:sz w:val="20"/>
          <w:szCs w:val="20"/>
          <w:lang w:val="es-ES_tradnl"/>
        </w:rPr>
        <w:t>.</w:t>
      </w:r>
    </w:p>
    <w:p w14:paraId="64CA1F54" w14:textId="77777777" w:rsidR="0084383C" w:rsidRPr="0084047F" w:rsidRDefault="0084383C" w:rsidP="0084383C">
      <w:pPr>
        <w:snapToGrid w:val="0"/>
        <w:spacing w:after="240" w:line="360" w:lineRule="auto"/>
        <w:jc w:val="both"/>
        <w:rPr>
          <w:rFonts w:ascii="Arial" w:hAnsi="Arial" w:cs="Arial"/>
          <w:b/>
          <w:bCs/>
          <w:sz w:val="20"/>
          <w:szCs w:val="20"/>
          <w:u w:val="single"/>
          <w:lang w:val="es-ES_tradnl"/>
        </w:rPr>
      </w:pPr>
      <w:r w:rsidRPr="0084047F">
        <w:rPr>
          <w:rFonts w:ascii="Arial" w:hAnsi="Arial" w:cs="Arial"/>
          <w:b/>
          <w:bCs/>
          <w:sz w:val="20"/>
          <w:szCs w:val="20"/>
          <w:u w:val="single"/>
          <w:lang w:val="es-ES_tradnl"/>
        </w:rPr>
        <w:t>Comisión Arbitral</w:t>
      </w:r>
    </w:p>
    <w:p w14:paraId="3920B800" w14:textId="2C554A17" w:rsidR="0084383C" w:rsidRPr="0084047F" w:rsidRDefault="00DF36C3" w:rsidP="00DF36C3">
      <w:pPr>
        <w:pStyle w:val="Prrafodelista"/>
        <w:numPr>
          <w:ilvl w:val="0"/>
          <w:numId w:val="3"/>
        </w:numPr>
        <w:snapToGrid w:val="0"/>
        <w:spacing w:after="240" w:line="360" w:lineRule="auto"/>
        <w:contextualSpacing w:val="0"/>
        <w:jc w:val="both"/>
        <w:rPr>
          <w:rFonts w:ascii="Arial" w:hAnsi="Arial" w:cs="Arial"/>
          <w:b/>
          <w:bCs/>
          <w:sz w:val="20"/>
          <w:szCs w:val="20"/>
          <w:u w:val="single"/>
          <w:lang w:val="es-ES_tradnl"/>
        </w:rPr>
      </w:pPr>
      <w:r w:rsidRPr="0084047F">
        <w:rPr>
          <w:rFonts w:ascii="Arial" w:hAnsi="Arial" w:cs="Arial"/>
          <w:sz w:val="20"/>
          <w:szCs w:val="20"/>
        </w:rPr>
        <w:t xml:space="preserve">RESOLUCIÓN GENERAL </w:t>
      </w:r>
      <w:r w:rsidR="00967054">
        <w:rPr>
          <w:rFonts w:ascii="Arial" w:hAnsi="Arial" w:cs="Arial"/>
          <w:sz w:val="20"/>
          <w:szCs w:val="20"/>
        </w:rPr>
        <w:t>(</w:t>
      </w:r>
      <w:r w:rsidRPr="0084047F">
        <w:rPr>
          <w:rFonts w:ascii="Arial" w:hAnsi="Arial" w:cs="Arial"/>
          <w:sz w:val="20"/>
          <w:szCs w:val="20"/>
        </w:rPr>
        <w:t>C</w:t>
      </w:r>
      <w:r w:rsidR="00967054">
        <w:rPr>
          <w:rFonts w:ascii="Arial" w:hAnsi="Arial" w:cs="Arial"/>
          <w:sz w:val="20"/>
          <w:szCs w:val="20"/>
        </w:rPr>
        <w:t xml:space="preserve">A) </w:t>
      </w:r>
      <w:r w:rsidRPr="0084047F">
        <w:rPr>
          <w:rFonts w:ascii="Arial" w:hAnsi="Arial" w:cs="Arial"/>
          <w:sz w:val="20"/>
          <w:szCs w:val="20"/>
        </w:rPr>
        <w:t xml:space="preserve">8/2022. Resolución General interpretativa sobre Banca Digital. </w:t>
      </w:r>
    </w:p>
    <w:p w14:paraId="373FB3B7" w14:textId="20C6DDBC" w:rsidR="00DF36C3" w:rsidRPr="0084047F" w:rsidRDefault="00DF36C3" w:rsidP="00DF36C3">
      <w:pPr>
        <w:pStyle w:val="Prrafodelista"/>
        <w:numPr>
          <w:ilvl w:val="0"/>
          <w:numId w:val="3"/>
        </w:numPr>
        <w:snapToGrid w:val="0"/>
        <w:spacing w:after="240" w:line="360" w:lineRule="auto"/>
        <w:contextualSpacing w:val="0"/>
        <w:jc w:val="both"/>
        <w:rPr>
          <w:rFonts w:ascii="Arial" w:hAnsi="Arial" w:cs="Arial"/>
          <w:b/>
          <w:bCs/>
          <w:sz w:val="20"/>
          <w:szCs w:val="20"/>
          <w:u w:val="single"/>
          <w:lang w:val="es-ES_tradnl"/>
        </w:rPr>
      </w:pPr>
      <w:r w:rsidRPr="0084047F">
        <w:rPr>
          <w:rFonts w:ascii="Arial" w:hAnsi="Arial" w:cs="Arial"/>
          <w:sz w:val="20"/>
          <w:szCs w:val="20"/>
        </w:rPr>
        <w:t xml:space="preserve">RESOLUCIÓN </w:t>
      </w:r>
      <w:r w:rsidR="00967054">
        <w:rPr>
          <w:rFonts w:ascii="Arial" w:hAnsi="Arial" w:cs="Arial"/>
          <w:sz w:val="20"/>
          <w:szCs w:val="20"/>
        </w:rPr>
        <w:t>(</w:t>
      </w:r>
      <w:r w:rsidRPr="0084047F">
        <w:rPr>
          <w:rFonts w:ascii="Arial" w:hAnsi="Arial" w:cs="Arial"/>
          <w:sz w:val="20"/>
          <w:szCs w:val="20"/>
        </w:rPr>
        <w:t>CA</w:t>
      </w:r>
      <w:r w:rsidR="00967054">
        <w:rPr>
          <w:rFonts w:ascii="Arial" w:hAnsi="Arial" w:cs="Arial"/>
          <w:sz w:val="20"/>
          <w:szCs w:val="20"/>
        </w:rPr>
        <w:t>)</w:t>
      </w:r>
      <w:r w:rsidRPr="0084047F">
        <w:rPr>
          <w:rFonts w:ascii="Arial" w:hAnsi="Arial" w:cs="Arial"/>
          <w:sz w:val="20"/>
          <w:szCs w:val="20"/>
        </w:rPr>
        <w:t xml:space="preserve"> 22/2022. Asignación de ventas al canal mayorista y franquiciados. Se hace lugar a la acción dado que “</w:t>
      </w:r>
      <w:r w:rsidRPr="0084047F">
        <w:rPr>
          <w:rFonts w:ascii="Arial" w:hAnsi="Arial" w:cs="Arial"/>
          <w:i/>
          <w:sz w:val="20"/>
          <w:szCs w:val="20"/>
        </w:rPr>
        <w:t xml:space="preserve">esta Comisión tiene dicho en varios precedentes, que el factor determinante para establecer a qué jurisdicción se deben atribuir los ingresos por venta de mercaderías, no responde al lugar físico de entrega de las mismas o puesta a disposición del cliente, sino que toma importancia el lugar de destino final de los bienes, que habitualmente es el domicilio del adquirente y siempre que este tenga el debido sustento territorial en ese destino. Esta afirmación se ve complementada, en este caso concreto, con el hecho de que se encuentra acreditado que la modalidad de venta mayorista que desarrolla la accionante permite hacer una trazabilidad entre la operación de venta y el destinatario de los bienes, siendo estos clientes mayoristas semi-exclusivos o una franquicia que explota exclusivamente la marca de la empresa; es decir, son clientes habituales de </w:t>
      </w:r>
      <w:proofErr w:type="spellStart"/>
      <w:r w:rsidRPr="0084047F">
        <w:rPr>
          <w:rFonts w:ascii="Arial" w:hAnsi="Arial" w:cs="Arial"/>
          <w:i/>
          <w:sz w:val="20"/>
          <w:szCs w:val="20"/>
        </w:rPr>
        <w:t>Gax</w:t>
      </w:r>
      <w:proofErr w:type="spellEnd"/>
      <w:r w:rsidRPr="0084047F">
        <w:rPr>
          <w:rFonts w:ascii="Arial" w:hAnsi="Arial" w:cs="Arial"/>
          <w:i/>
          <w:sz w:val="20"/>
          <w:szCs w:val="20"/>
        </w:rPr>
        <w:t xml:space="preserve"> SA y no caben dudas, entonces, que conoce sobradamente a los mismos”.</w:t>
      </w:r>
      <w:r w:rsidRPr="0084047F">
        <w:rPr>
          <w:rFonts w:ascii="Arial" w:hAnsi="Arial" w:cs="Arial"/>
          <w:sz w:val="20"/>
          <w:szCs w:val="20"/>
        </w:rPr>
        <w:t xml:space="preserve"> </w:t>
      </w:r>
      <w:r w:rsidRPr="0084047F">
        <w:rPr>
          <w:rFonts w:ascii="Arial" w:hAnsi="Arial" w:cs="Arial"/>
          <w:b/>
          <w:bCs/>
          <w:i/>
          <w:iCs/>
          <w:sz w:val="20"/>
          <w:szCs w:val="20"/>
          <w:lang w:val="es-ES_tradnl"/>
        </w:rPr>
        <w:t>“</w:t>
      </w:r>
      <w:proofErr w:type="spellStart"/>
      <w:r w:rsidRPr="0084047F">
        <w:rPr>
          <w:rFonts w:ascii="Arial" w:hAnsi="Arial" w:cs="Arial"/>
          <w:b/>
          <w:bCs/>
          <w:i/>
          <w:iCs/>
          <w:sz w:val="20"/>
          <w:szCs w:val="20"/>
          <w:lang w:val="es-ES_tradnl"/>
        </w:rPr>
        <w:t>Gax</w:t>
      </w:r>
      <w:proofErr w:type="spellEnd"/>
      <w:r w:rsidRPr="0084047F">
        <w:rPr>
          <w:rFonts w:ascii="Arial" w:hAnsi="Arial" w:cs="Arial"/>
          <w:b/>
          <w:bCs/>
          <w:i/>
          <w:iCs/>
          <w:sz w:val="20"/>
          <w:szCs w:val="20"/>
          <w:lang w:val="es-ES_tradnl"/>
        </w:rPr>
        <w:t xml:space="preserve"> SA c/ provincia de Buenos Aires”.</w:t>
      </w:r>
    </w:p>
    <w:p w14:paraId="21DE338C" w14:textId="093563F6" w:rsidR="00DF36C3" w:rsidRPr="0084047F" w:rsidRDefault="00DF36C3" w:rsidP="00DF36C3">
      <w:pPr>
        <w:pStyle w:val="Prrafodelista"/>
        <w:numPr>
          <w:ilvl w:val="0"/>
          <w:numId w:val="3"/>
        </w:numPr>
        <w:snapToGrid w:val="0"/>
        <w:spacing w:after="240" w:line="360" w:lineRule="auto"/>
        <w:contextualSpacing w:val="0"/>
        <w:jc w:val="both"/>
        <w:rPr>
          <w:rFonts w:ascii="Arial" w:hAnsi="Arial" w:cs="Arial"/>
          <w:b/>
          <w:bCs/>
          <w:sz w:val="20"/>
          <w:szCs w:val="20"/>
          <w:u w:val="single"/>
          <w:lang w:val="es-ES_tradnl"/>
        </w:rPr>
      </w:pPr>
      <w:r w:rsidRPr="00967054">
        <w:rPr>
          <w:rFonts w:ascii="Arial" w:hAnsi="Arial" w:cs="Arial"/>
          <w:sz w:val="20"/>
          <w:szCs w:val="20"/>
        </w:rPr>
        <w:t xml:space="preserve">RESOLUCIÓN </w:t>
      </w:r>
      <w:r w:rsidR="00967054" w:rsidRPr="00967054">
        <w:rPr>
          <w:rFonts w:ascii="Arial" w:hAnsi="Arial" w:cs="Arial"/>
          <w:sz w:val="20"/>
          <w:szCs w:val="20"/>
        </w:rPr>
        <w:t>(</w:t>
      </w:r>
      <w:r w:rsidRPr="00967054">
        <w:rPr>
          <w:rFonts w:ascii="Arial" w:hAnsi="Arial" w:cs="Arial"/>
          <w:sz w:val="20"/>
          <w:szCs w:val="20"/>
        </w:rPr>
        <w:t>CA</w:t>
      </w:r>
      <w:r w:rsidR="00967054" w:rsidRPr="00967054">
        <w:rPr>
          <w:rFonts w:ascii="Arial" w:hAnsi="Arial" w:cs="Arial"/>
          <w:sz w:val="20"/>
          <w:szCs w:val="20"/>
        </w:rPr>
        <w:t xml:space="preserve">) </w:t>
      </w:r>
      <w:r w:rsidRPr="00967054">
        <w:rPr>
          <w:rFonts w:ascii="Arial" w:hAnsi="Arial" w:cs="Arial"/>
          <w:sz w:val="20"/>
          <w:szCs w:val="20"/>
        </w:rPr>
        <w:t>24/2022.</w:t>
      </w:r>
      <w:r w:rsidR="00E909D1" w:rsidRPr="00967054">
        <w:rPr>
          <w:rFonts w:ascii="Arial" w:hAnsi="Arial" w:cs="Arial"/>
          <w:sz w:val="20"/>
          <w:szCs w:val="20"/>
        </w:rPr>
        <w:t xml:space="preserve"> Aplicación del primer párrafo del artículo 13 del Convenio Multilateral.  Se hace lugar a la acción dado que “</w:t>
      </w:r>
      <w:r w:rsidR="00E909D1" w:rsidRPr="00967054">
        <w:rPr>
          <w:rFonts w:ascii="Arial" w:hAnsi="Arial" w:cs="Arial"/>
          <w:i/>
          <w:sz w:val="20"/>
          <w:szCs w:val="20"/>
        </w:rPr>
        <w:t>a efectos de la determinación del valor referido en el considerando anterior, se deberá tomar el precio de las ventas efectuadas por la empresa productora, detrayendo los gastos de transporte, por ser estos posteriores al despacho fuera de la jurisdicción productora, conforme el criterio establecido por las Resoluciones de la Comisión Arbitral N° 24/2017 y N° 46/2019</w:t>
      </w:r>
      <w:r w:rsidR="00E909D1" w:rsidRPr="00967054">
        <w:rPr>
          <w:rFonts w:ascii="Arial" w:hAnsi="Arial" w:cs="Arial"/>
          <w:sz w:val="20"/>
          <w:szCs w:val="20"/>
        </w:rPr>
        <w:t>”. “</w:t>
      </w:r>
      <w:r w:rsidR="00E909D1" w:rsidRPr="00967054">
        <w:rPr>
          <w:rFonts w:ascii="Arial" w:hAnsi="Arial" w:cs="Arial"/>
          <w:b/>
          <w:bCs/>
          <w:i/>
          <w:iCs/>
          <w:sz w:val="20"/>
          <w:szCs w:val="20"/>
          <w:lang w:val="es-ES_tradnl"/>
        </w:rPr>
        <w:t>Pluspetrol SA c/ provincia de Buenos Aires”</w:t>
      </w:r>
      <w:r w:rsidR="00E909D1" w:rsidRPr="00967054">
        <w:rPr>
          <w:rFonts w:ascii="Arial" w:hAnsi="Arial" w:cs="Arial"/>
          <w:sz w:val="20"/>
          <w:szCs w:val="20"/>
        </w:rPr>
        <w:t>.</w:t>
      </w:r>
    </w:p>
    <w:sectPr w:rsidR="00DF36C3" w:rsidRPr="0084047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D3077"/>
    <w:multiLevelType w:val="hybridMultilevel"/>
    <w:tmpl w:val="BB6A4FC6"/>
    <w:lvl w:ilvl="0" w:tplc="F82091F2">
      <w:start w:val="6"/>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A2515D8"/>
    <w:multiLevelType w:val="hybridMultilevel"/>
    <w:tmpl w:val="C5829B2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4C982FBA"/>
    <w:multiLevelType w:val="hybridMultilevel"/>
    <w:tmpl w:val="46C68456"/>
    <w:lvl w:ilvl="0" w:tplc="241A635C">
      <w:start w:val="1"/>
      <w:numFmt w:val="bullet"/>
      <w:lvlText w:val=""/>
      <w:lvlJc w:val="left"/>
      <w:pPr>
        <w:ind w:left="720" w:hanging="360"/>
      </w:pPr>
      <w:rPr>
        <w:rFonts w:ascii="Wingdings" w:hAnsi="Wingdings" w:hint="default"/>
        <w:sz w:val="2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DCE79FF"/>
    <w:multiLevelType w:val="hybridMultilevel"/>
    <w:tmpl w:val="E9D2AEC6"/>
    <w:lvl w:ilvl="0" w:tplc="241A635C">
      <w:start w:val="1"/>
      <w:numFmt w:val="bullet"/>
      <w:lvlText w:val=""/>
      <w:lvlJc w:val="left"/>
      <w:pPr>
        <w:ind w:left="720" w:hanging="360"/>
      </w:pPr>
      <w:rPr>
        <w:rFonts w:ascii="Wingdings" w:hAnsi="Wingdings" w:hint="default"/>
        <w:sz w:val="2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7A530574"/>
    <w:multiLevelType w:val="hybridMultilevel"/>
    <w:tmpl w:val="C5829B2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92214967">
    <w:abstractNumId w:val="3"/>
  </w:num>
  <w:num w:numId="2" w16cid:durableId="216823751">
    <w:abstractNumId w:val="2"/>
  </w:num>
  <w:num w:numId="3" w16cid:durableId="1145463259">
    <w:abstractNumId w:val="4"/>
  </w:num>
  <w:num w:numId="4" w16cid:durableId="2074771139">
    <w:abstractNumId w:val="0"/>
  </w:num>
  <w:num w:numId="5" w16cid:durableId="1393961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349"/>
    <w:rsid w:val="000B41CC"/>
    <w:rsid w:val="00121CCD"/>
    <w:rsid w:val="001A164A"/>
    <w:rsid w:val="001A2683"/>
    <w:rsid w:val="002376AD"/>
    <w:rsid w:val="00382C52"/>
    <w:rsid w:val="00410BA1"/>
    <w:rsid w:val="00574349"/>
    <w:rsid w:val="005A41FD"/>
    <w:rsid w:val="005D153D"/>
    <w:rsid w:val="005D2F33"/>
    <w:rsid w:val="006163D4"/>
    <w:rsid w:val="006E713F"/>
    <w:rsid w:val="007C3AB4"/>
    <w:rsid w:val="008107D4"/>
    <w:rsid w:val="00821DDD"/>
    <w:rsid w:val="0084047F"/>
    <w:rsid w:val="0084383C"/>
    <w:rsid w:val="00851DD3"/>
    <w:rsid w:val="008D797E"/>
    <w:rsid w:val="00904076"/>
    <w:rsid w:val="00946916"/>
    <w:rsid w:val="0095790B"/>
    <w:rsid w:val="00967054"/>
    <w:rsid w:val="00994580"/>
    <w:rsid w:val="00A813F3"/>
    <w:rsid w:val="00A9088D"/>
    <w:rsid w:val="00AF2336"/>
    <w:rsid w:val="00AF2E84"/>
    <w:rsid w:val="00B556B0"/>
    <w:rsid w:val="00B648CE"/>
    <w:rsid w:val="00BC23EB"/>
    <w:rsid w:val="00C94FD8"/>
    <w:rsid w:val="00CA58FA"/>
    <w:rsid w:val="00CA7762"/>
    <w:rsid w:val="00CC1D4E"/>
    <w:rsid w:val="00D67BEA"/>
    <w:rsid w:val="00DD3B6C"/>
    <w:rsid w:val="00DF36C3"/>
    <w:rsid w:val="00E26CDE"/>
    <w:rsid w:val="00E67A45"/>
    <w:rsid w:val="00E909D1"/>
    <w:rsid w:val="00F4558A"/>
    <w:rsid w:val="00F668EF"/>
    <w:rsid w:val="00F6749E"/>
    <w:rsid w:val="00FF387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481DF"/>
  <w15:chartTrackingRefBased/>
  <w15:docId w15:val="{41C67D85-C2B9-CA43-9605-AB7F9ACA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83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813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1879</Words>
  <Characters>10339</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Francisco Reyes</dc:creator>
  <cp:keywords/>
  <dc:description/>
  <cp:lastModifiedBy>Carlos Francisco Reyes</cp:lastModifiedBy>
  <cp:revision>4</cp:revision>
  <dcterms:created xsi:type="dcterms:W3CDTF">2022-09-16T12:25:00Z</dcterms:created>
  <dcterms:modified xsi:type="dcterms:W3CDTF">2022-09-16T12:34:00Z</dcterms:modified>
</cp:coreProperties>
</file>